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25" w:rsidRPr="000A5C25" w:rsidRDefault="000A5C25" w:rsidP="000A5C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zh-TW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-206375</wp:posOffset>
                </wp:positionV>
                <wp:extent cx="1543050" cy="266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A55" w:rsidRDefault="00836A55">
                            <w:r>
                              <w:t>ATTACHMENT D1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pt;margin-top:-16.25pt;width:121.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" fillcolor="white [3201]" strokecolor="white [3212]" strokeweight=".5pt">
                <v:textbox>
                  <w:txbxContent>
                    <w:p w:rsidR="00836A55" w:rsidRDefault="00836A55">
                      <w:r>
                        <w:t>ATTACHMENT D1</w:t>
                      </w:r>
                    </w:p>
                  </w:txbxContent>
                </v:textbox>
              </v:shape>
            </w:pict>
          </mc:Fallback>
        </mc:AlternateContent>
      </w:r>
      <w:r w:rsidRPr="000A5C25">
        <w:rPr>
          <w:rFonts w:ascii="Times New Roman" w:eastAsia="Times New Roman" w:hAnsi="Times New Roman" w:cs="Times New Roman"/>
          <w:i/>
          <w:sz w:val="28"/>
          <w:szCs w:val="28"/>
          <w:lang w:eastAsia="zh-TW"/>
        </w:rPr>
        <w:t>SCHOOL LETTERHEAD</w:t>
      </w:r>
    </w:p>
    <w:p w:rsidR="000A5C25" w:rsidRPr="000A5C25" w:rsidRDefault="000A5C25" w:rsidP="000A5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</w:p>
    <w:p w:rsidR="000A5C25" w:rsidRPr="000A5C25" w:rsidRDefault="000A5C25" w:rsidP="000A5C2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zh-TW"/>
        </w:rPr>
      </w:pPr>
      <w:r w:rsidRPr="000A5C25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0A5C25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Pr="000A5C25">
        <w:rPr>
          <w:rFonts w:ascii="Times New Roman" w:eastAsia="Times New Roman" w:hAnsi="Times New Roman" w:cs="Times New Roman"/>
          <w:sz w:val="24"/>
          <w:szCs w:val="24"/>
          <w:lang w:eastAsia="zh-TW"/>
        </w:rPr>
        <w:tab/>
      </w:r>
      <w:r w:rsidR="00D80EA6" w:rsidRPr="00D80EA6">
        <w:rPr>
          <w:rFonts w:ascii="新細明體" w:eastAsia="新細明體" w:hAnsi="新細明體" w:cs="新細明體" w:hint="eastAsia"/>
          <w:i/>
          <w:sz w:val="24"/>
          <w:szCs w:val="24"/>
          <w:lang w:eastAsia="zh-TW"/>
        </w:rPr>
        <w:t>日期，</w:t>
      </w:r>
      <w:r w:rsidR="00D80EA6" w:rsidRPr="00D80EA6">
        <w:rPr>
          <w:rFonts w:ascii="Times New Roman" w:eastAsia="Times New Roman" w:hAnsi="Times New Roman" w:cs="Times New Roman" w:hint="eastAsia"/>
          <w:i/>
          <w:sz w:val="24"/>
          <w:szCs w:val="24"/>
          <w:lang w:eastAsia="zh-TW"/>
        </w:rPr>
        <w:t>2018</w:t>
      </w:r>
      <w:r w:rsidR="00D80EA6" w:rsidRPr="00D80EA6">
        <w:rPr>
          <w:rFonts w:ascii="新細明體" w:eastAsia="新細明體" w:hAnsi="新細明體" w:cs="新細明體" w:hint="eastAsia"/>
          <w:i/>
          <w:sz w:val="24"/>
          <w:szCs w:val="24"/>
          <w:lang w:eastAsia="zh-TW"/>
        </w:rPr>
        <w:t>年</w:t>
      </w:r>
    </w:p>
    <w:p w:rsidR="000A5C25" w:rsidRPr="000A5C25" w:rsidRDefault="006C4182" w:rsidP="000A5C25">
      <w:pPr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6C418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親愛的學生和家長</w:t>
      </w:r>
      <w:r w:rsidRPr="006C4182">
        <w:rPr>
          <w:rFonts w:ascii="Times New Roman" w:eastAsia="Calibri" w:hAnsi="Times New Roman" w:cs="Times New Roman"/>
          <w:sz w:val="24"/>
          <w:szCs w:val="24"/>
          <w:lang w:eastAsia="zh-TW"/>
        </w:rPr>
        <w:t>/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監護人</w:t>
      </w:r>
      <w:r w:rsidRPr="006C418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：</w:t>
      </w:r>
    </w:p>
    <w:p w:rsidR="000A5C25" w:rsidRPr="000A5C25" w:rsidRDefault="000A5C25" w:rsidP="000A5C25">
      <w:pPr>
        <w:rPr>
          <w:rFonts w:ascii="Times New Roman" w:eastAsia="Calibri" w:hAnsi="Times New Roman" w:cs="Times New Roman"/>
          <w:sz w:val="24"/>
          <w:szCs w:val="24"/>
          <w:lang w:eastAsia="zh-TW"/>
        </w:rPr>
      </w:pPr>
    </w:p>
    <w:p w:rsidR="000A5C25" w:rsidRPr="000A5C25" w:rsidRDefault="003F0446" w:rsidP="000A5C25">
      <w:pPr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此信</w:t>
      </w:r>
      <w:r w:rsidR="001A7C74" w:rsidRPr="001A7C7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函</w:t>
      </w:r>
      <w:r w:rsidR="000331D3" w:rsidRPr="000331D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乃</w:t>
      </w:r>
      <w:r w:rsidR="000331D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告知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有關洛杉磯聯合學區（</w:t>
      </w:r>
      <w:r w:rsidRPr="003F0446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LAUSD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）的高中分</w:t>
      </w:r>
      <w:r w:rsidR="005479DE" w:rsidRPr="005479D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班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政策。本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學區提供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一系列稱為</w:t>
      </w:r>
      <w:r w:rsidR="001B7221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途徑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數學課程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以滿足學生的各種需求和興趣。</w:t>
      </w:r>
      <w:r w:rsidRPr="003F0446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 xml:space="preserve"> 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大部分</w:t>
      </w:r>
      <w:r w:rsidR="00AA42A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9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年級學生將</w:t>
      </w:r>
      <w:r w:rsidR="00C06680" w:rsidRPr="00C0668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共同核心代數</w:t>
      </w:r>
      <w:r w:rsidRPr="003F0446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I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課程。</w:t>
      </w:r>
      <w:r w:rsidR="00AA42A4" w:rsidRPr="00AA42A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參與初</w:t>
      </w:r>
      <w:r w:rsidR="00AA42A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中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加速</w:t>
      </w:r>
      <w:r w:rsidR="00AA42A4" w:rsidRPr="00AA42A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計劃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的學生</w:t>
      </w:r>
      <w:r w:rsidR="00DD4496" w:rsidRPr="00DD449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則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將</w:t>
      </w:r>
      <w:r w:rsidR="00AA42A4" w:rsidRPr="00AA42A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於</w:t>
      </w:r>
      <w:r w:rsidR="00AA42A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9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</w:t>
      </w:r>
      <w:r w:rsidR="00AA42A4" w:rsidRPr="00AA42A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幾何或代數</w:t>
      </w:r>
      <w:r w:rsidRPr="003F0446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2</w:t>
      </w:r>
      <w:r w:rsidRPr="003F0446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。</w:t>
      </w:r>
      <w:r w:rsidR="000A5C25" w:rsidRPr="000A5C25">
        <w:rPr>
          <w:rFonts w:ascii="Calibri" w:eastAsia="Calibri" w:hAnsi="Calibri" w:cs="Times New Roman"/>
          <w:sz w:val="24"/>
          <w:szCs w:val="24"/>
          <w:lang w:eastAsia="zh-TW"/>
        </w:rPr>
        <w:t xml:space="preserve"> </w:t>
      </w:r>
    </w:p>
    <w:p w:rsidR="000A5C25" w:rsidRPr="000A5C25" w:rsidRDefault="001B7221" w:rsidP="000A5C25">
      <w:pPr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1B722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本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地區的目標是</w:t>
      </w:r>
      <w:r w:rsidRPr="001B722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提供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轉</w:t>
      </w:r>
      <w:r w:rsidRPr="001B722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讀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高中的學生</w:t>
      </w:r>
      <w:r w:rsidR="00F1198E" w:rsidRPr="00F1198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一個可以</w:t>
      </w:r>
      <w:r w:rsidR="002513D3" w:rsidRPr="002513D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體驗</w:t>
      </w:r>
      <w:r w:rsidR="00F1198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嚴格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數學</w:t>
      </w:r>
      <w:r w:rsidR="00A358C2" w:rsidRPr="00A358C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</w:t>
      </w:r>
      <w:r w:rsidR="00F1198E" w:rsidRPr="00F1198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</w:t>
      </w:r>
      <w:r w:rsidR="00F1198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機會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，旨在為</w:t>
      </w:r>
      <w:r w:rsidR="000D24C1" w:rsidRPr="000D24C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學生</w:t>
      </w:r>
      <w:r w:rsidR="00774E92" w:rsidRPr="00774E9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從</w:t>
      </w:r>
      <w:r w:rsidR="000D24C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高中數學課程</w:t>
      </w:r>
      <w:r w:rsidR="00774E92" w:rsidRPr="00774E9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中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奠定</w:t>
      </w:r>
      <w:r w:rsidRPr="001B722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穩固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</w:t>
      </w:r>
      <w:r w:rsidR="000D24C1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成功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基礎。</w:t>
      </w:r>
      <w:r w:rsidR="00C01C1A" w:rsidRPr="00C01C1A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 xml:space="preserve"> 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除了代數</w:t>
      </w:r>
      <w:r w:rsidR="00C01C1A" w:rsidRPr="00C01C1A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I</w:t>
      </w:r>
      <w:r w:rsidRPr="001B722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、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幾何</w:t>
      </w:r>
      <w:r w:rsidRPr="001B722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、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代數</w:t>
      </w:r>
      <w:r w:rsidR="00C01C1A" w:rsidRPr="00C01C1A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II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和第四年數學課程在內的高中學習途徑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外，</w:t>
      </w:r>
      <w:r w:rsidR="00C01C1A" w:rsidRPr="00C01C1A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LAUSD</w:t>
      </w:r>
      <w:r w:rsidRPr="001B722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認知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到對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一些學生來說，高中加速數學途徑</w:t>
      </w:r>
      <w:r w:rsidRPr="001B722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會較為</w:t>
      </w:r>
      <w:r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適合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。</w:t>
      </w:r>
      <w:r w:rsidR="00C01C1A" w:rsidRPr="00C01C1A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 xml:space="preserve"> 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然而，由於加速途徑的</w:t>
      </w:r>
      <w:r w:rsidR="000C4643" w:rsidRPr="000C464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艱澀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度，學區建議考慮</w:t>
      </w:r>
      <w:r w:rsidR="00FF616A" w:rsidRPr="00FF616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參與</w:t>
      </w:r>
      <w:r w:rsidR="00FF616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加速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數學</w:t>
      </w:r>
      <w:r w:rsidR="00986771" w:rsidRPr="0098677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的學</w:t>
      </w:r>
      <w:r w:rsidR="0098677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生</w:t>
      </w:r>
      <w:r w:rsidR="0039044C" w:rsidRPr="0039044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要確認</w:t>
      </w:r>
      <w:r w:rsidR="00986771" w:rsidRPr="0098677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其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基礎</w:t>
      </w:r>
      <w:r w:rsidR="00D23DA4" w:rsidRPr="00D23DA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是否</w:t>
      </w:r>
      <w:r w:rsidR="00986771" w:rsidRPr="0098677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非常穩</w:t>
      </w:r>
      <w:r w:rsidR="00D23DA4" w:rsidRPr="00D23DA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健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，並承諾</w:t>
      </w:r>
      <w:r w:rsidR="00986771" w:rsidRPr="0098677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於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同一學年</w:t>
      </w:r>
      <w:r w:rsidR="00986771" w:rsidRPr="0098677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內</w:t>
      </w:r>
      <w:r w:rsidR="0048123D" w:rsidRPr="0048123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兩</w:t>
      </w:r>
      <w:r w:rsidR="00986771" w:rsidRPr="0098677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個</w:t>
      </w:r>
      <w:r w:rsidR="00C01C1A" w:rsidRPr="00C01C1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數學課程。</w:t>
      </w:r>
    </w:p>
    <w:p w:rsidR="000A5C25" w:rsidRPr="000A5C25" w:rsidRDefault="0025671B" w:rsidP="000A5C2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5671B">
        <w:rPr>
          <w:rFonts w:ascii="新細明體" w:eastAsia="新細明體" w:hAnsi="新細明體" w:cs="新細明體" w:hint="eastAsia"/>
          <w:b/>
          <w:sz w:val="24"/>
          <w:szCs w:val="24"/>
        </w:rPr>
        <w:t>高中加速</w:t>
      </w:r>
      <w:r w:rsidR="00AC3DBE" w:rsidRPr="00AC3DBE">
        <w:rPr>
          <w:rFonts w:ascii="新細明體" w:eastAsia="新細明體" w:hAnsi="新細明體" w:cs="新細明體" w:hint="eastAsia"/>
          <w:b/>
          <w:sz w:val="24"/>
          <w:szCs w:val="24"/>
        </w:rPr>
        <w:t>課程</w:t>
      </w:r>
      <w:r w:rsidRPr="0025671B">
        <w:rPr>
          <w:rFonts w:ascii="新細明體" w:eastAsia="新細明體" w:hAnsi="新細明體" w:cs="新細明體" w:hint="eastAsia"/>
          <w:b/>
          <w:sz w:val="24"/>
          <w:szCs w:val="24"/>
        </w:rPr>
        <w:t>選項</w:t>
      </w:r>
    </w:p>
    <w:p w:rsidR="000A5C25" w:rsidRPr="000A5C25" w:rsidRDefault="00AC3DBE" w:rsidP="000A5C25">
      <w:pPr>
        <w:rPr>
          <w:rFonts w:ascii="Times New Roman" w:eastAsia="Calibri" w:hAnsi="Times New Roman" w:cs="Times New Roman"/>
          <w:sz w:val="24"/>
          <w:szCs w:val="24"/>
        </w:rPr>
      </w:pPr>
      <w:r w:rsidRPr="00AC3DBE">
        <w:rPr>
          <w:rFonts w:ascii="新細明體" w:eastAsia="新細明體" w:hAnsi="新細明體" w:cs="新細明體" w:hint="eastAsia"/>
          <w:sz w:val="24"/>
          <w:szCs w:val="24"/>
        </w:rPr>
        <w:t>本學區於高中提供以下加速課程選項：</w:t>
      </w:r>
    </w:p>
    <w:p w:rsidR="000A5C25" w:rsidRPr="000A5C25" w:rsidRDefault="0073653E" w:rsidP="00EA79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學生</w:t>
      </w:r>
      <w:r w:rsidR="00782617" w:rsidRPr="0078261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於</w:t>
      </w:r>
      <w:r w:rsidRPr="0073653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9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年級學習共同核心（</w:t>
      </w:r>
      <w:r w:rsidRPr="0073653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C.C.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）幾何</w:t>
      </w:r>
      <w:r w:rsidRPr="006E1D19">
        <w:rPr>
          <w:rFonts w:ascii="新細明體" w:eastAsia="新細明體" w:hAnsi="新細明體" w:cs="新細明體" w:hint="eastAsia"/>
          <w:b/>
          <w:i/>
          <w:sz w:val="24"/>
          <w:szCs w:val="24"/>
          <w:lang w:eastAsia="zh-TW"/>
        </w:rPr>
        <w:t>和</w:t>
      </w:r>
      <w:r w:rsidRPr="0073653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C.C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代數</w:t>
      </w:r>
      <w:r w:rsidRPr="0073653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I</w:t>
      </w:r>
      <w:r w:rsidR="004A39F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。如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採納此選</w:t>
      </w:r>
      <w:r w:rsidR="003D54D7" w:rsidRPr="003D54D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項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，建議於</w:t>
      </w:r>
      <w:r w:rsidRPr="0073653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C.C.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數學</w:t>
      </w:r>
      <w:r w:rsidRPr="0073653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8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中</w:t>
      </w:r>
      <w:r w:rsidR="006706FB" w:rsidRPr="006706FB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要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獲得</w:t>
      </w:r>
      <w:r w:rsidR="00744C1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73653E">
        <w:rPr>
          <w:rFonts w:ascii="Calibri" w:eastAsia="Calibri" w:hAnsi="Calibri" w:cs="Calibri"/>
          <w:sz w:val="24"/>
          <w:szCs w:val="24"/>
          <w:lang w:eastAsia="zh-TW"/>
        </w:rPr>
        <w:t>“</w:t>
      </w:r>
      <w:r w:rsidRPr="0073653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B</w:t>
      </w:r>
      <w:r w:rsidRPr="0073653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”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</w:t>
      </w:r>
      <w:r w:rsidR="00744C1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73653E">
        <w:rPr>
          <w:rFonts w:ascii="Calibri" w:eastAsia="Calibri" w:hAnsi="Calibri" w:cs="Calibri"/>
          <w:sz w:val="24"/>
          <w:szCs w:val="24"/>
          <w:lang w:eastAsia="zh-TW"/>
        </w:rPr>
        <w:t>“</w:t>
      </w:r>
      <w:r w:rsidRPr="0073653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A</w:t>
      </w:r>
      <w:r w:rsidRPr="0073653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”</w:t>
      </w:r>
      <w:r w:rsidR="00EA799B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等級，並</w:t>
      </w:r>
      <w:r w:rsidR="00EA799B" w:rsidRPr="00EA799B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在</w:t>
      </w:r>
      <w:r w:rsid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8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年級智慧平衡數學成績</w:t>
      </w:r>
      <w:r w:rsidR="007B33B4"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達到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最低要求</w:t>
      </w:r>
      <w:r w:rsidR="007B33B4"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的「達</w:t>
      </w:r>
      <w:r w:rsid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標</w:t>
      </w:r>
      <w:r w:rsidR="007B33B4"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」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</w:t>
      </w:r>
      <w:r w:rsidR="007B33B4"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「超出</w:t>
      </w:r>
      <w:r w:rsid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標準</w:t>
      </w:r>
      <w:r w:rsidR="007B33B4"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」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。</w:t>
      </w:r>
    </w:p>
    <w:p w:rsidR="000A5C25" w:rsidRPr="000A5C25" w:rsidRDefault="000A5C25" w:rsidP="000A5C2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</w:p>
    <w:p w:rsidR="000A5C25" w:rsidRPr="000A5C25" w:rsidRDefault="00416DAE" w:rsidP="000A5C2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6DAE">
        <w:rPr>
          <w:rFonts w:ascii="新細明體" w:eastAsia="新細明體" w:hAnsi="新細明體" w:cs="新細明體" w:hint="eastAsia"/>
          <w:sz w:val="24"/>
          <w:szCs w:val="24"/>
        </w:rPr>
        <w:t>或</w:t>
      </w:r>
    </w:p>
    <w:p w:rsidR="000A5C25" w:rsidRPr="000A5C25" w:rsidRDefault="000A5C25" w:rsidP="000A5C2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A5C25" w:rsidRPr="000A5C25" w:rsidRDefault="00652319" w:rsidP="004F15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學生</w:t>
      </w:r>
      <w:r w:rsidR="007C1D05" w:rsidRPr="007C1D0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於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1</w:t>
      </w:r>
      <w:r>
        <w:rPr>
          <w:rFonts w:ascii="新細明體" w:eastAsia="新細明體" w:hAnsi="新細明體" w:cs="新細明體"/>
          <w:sz w:val="24"/>
          <w:szCs w:val="24"/>
          <w:lang w:eastAsia="zh-TW"/>
        </w:rPr>
        <w:t>0</w:t>
      </w:r>
      <w:r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</w:t>
      </w:r>
      <w:r w:rsidR="007C1D05" w:rsidRPr="007C1D0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幾何和代數</w:t>
      </w:r>
      <w:r w:rsidRPr="00652319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II</w:t>
      </w:r>
      <w:r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。</w:t>
      </w:r>
      <w:r w:rsidR="007C1D05" w:rsidRPr="007C1D0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如</w:t>
      </w:r>
      <w:r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採</w:t>
      </w:r>
      <w:r w:rsidR="007C1D05" w:rsidRPr="007C1D0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納</w:t>
      </w:r>
      <w:r w:rsidR="000230CD" w:rsidRPr="000230C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此</w:t>
      </w:r>
      <w:r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選</w:t>
      </w:r>
      <w:r w:rsidR="004F15F0" w:rsidRPr="004F15F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項</w:t>
      </w:r>
      <w:r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，建議</w:t>
      </w:r>
      <w:r w:rsidR="00803F95" w:rsidRPr="00803F9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於</w:t>
      </w:r>
      <w:r w:rsidRPr="00652319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C.C.</w:t>
      </w:r>
      <w:r w:rsidR="00803F95" w:rsidRPr="00803F9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="00803F95"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代數</w:t>
      </w:r>
      <w:r w:rsidR="00803F95" w:rsidRPr="00652319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I</w:t>
      </w:r>
      <w:r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中</w:t>
      </w:r>
      <w:r w:rsidR="00803F95" w:rsidRPr="00803F9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要</w:t>
      </w:r>
      <w:r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獲得</w:t>
      </w:r>
      <w:r w:rsidR="0032032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652319">
        <w:rPr>
          <w:rFonts w:ascii="Calibri" w:eastAsia="Calibri" w:hAnsi="Calibri" w:cs="Calibri"/>
          <w:sz w:val="24"/>
          <w:szCs w:val="24"/>
          <w:lang w:eastAsia="zh-TW"/>
        </w:rPr>
        <w:t>“</w:t>
      </w:r>
      <w:r w:rsidRPr="00652319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B</w:t>
      </w:r>
      <w:r w:rsidRPr="00652319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”</w:t>
      </w:r>
      <w:r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</w:t>
      </w:r>
      <w:r w:rsidR="0032032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652319">
        <w:rPr>
          <w:rFonts w:ascii="Calibri" w:eastAsia="Calibri" w:hAnsi="Calibri" w:cs="Calibri"/>
          <w:sz w:val="24"/>
          <w:szCs w:val="24"/>
          <w:lang w:eastAsia="zh-TW"/>
        </w:rPr>
        <w:t>“</w:t>
      </w:r>
      <w:r w:rsidRPr="00652319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A</w:t>
      </w:r>
      <w:r w:rsidRPr="00652319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”</w:t>
      </w:r>
      <w:r w:rsidRPr="0065231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等級</w:t>
      </w:r>
      <w:r w:rsidR="00BD42CB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</w:t>
      </w:r>
      <w:r w:rsidR="001F3EA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並</w:t>
      </w:r>
      <w:r w:rsidR="006E4715" w:rsidRPr="006E471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在</w:t>
      </w:r>
      <w:r w:rsidR="001F3EA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8</w:t>
      </w:r>
      <w:r w:rsidR="001F3EA0"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年級智慧平衡數學成績</w:t>
      </w:r>
      <w:r w:rsidR="001F3EA0"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達到</w:t>
      </w:r>
      <w:r w:rsidR="001F3EA0"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最低要求</w:t>
      </w:r>
      <w:r w:rsidR="001F3EA0"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的「達</w:t>
      </w:r>
      <w:r w:rsidR="001F3EA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標</w:t>
      </w:r>
      <w:r w:rsidR="001F3EA0"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」</w:t>
      </w:r>
      <w:r w:rsidR="001F3EA0"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</w:t>
      </w:r>
      <w:r w:rsidR="001F3EA0"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「超出</w:t>
      </w:r>
      <w:r w:rsidR="001F3EA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標準</w:t>
      </w:r>
      <w:r w:rsidR="001F3EA0"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」</w:t>
      </w:r>
      <w:r w:rsidR="001F3EA0"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。</w:t>
      </w:r>
    </w:p>
    <w:p w:rsidR="000A5C25" w:rsidRPr="000A5C25" w:rsidRDefault="000A5C25" w:rsidP="000A5C2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highlight w:val="yellow"/>
          <w:lang w:eastAsia="zh-TW"/>
        </w:rPr>
      </w:pPr>
      <w:r w:rsidRPr="000A5C25">
        <w:rPr>
          <w:rFonts w:ascii="Times New Roman" w:eastAsia="Calibri" w:hAnsi="Times New Roman" w:cs="Times New Roman"/>
          <w:sz w:val="24"/>
          <w:szCs w:val="24"/>
          <w:highlight w:val="yellow"/>
          <w:lang w:eastAsia="zh-TW"/>
        </w:rPr>
        <w:t xml:space="preserve"> </w:t>
      </w:r>
    </w:p>
    <w:p w:rsidR="000A5C25" w:rsidRPr="000A5C25" w:rsidRDefault="00535C29" w:rsidP="000A5C2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535C2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如</w:t>
      </w:r>
      <w:r w:rsidR="0003085E" w:rsidRPr="0003085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在</w:t>
      </w:r>
      <w:r w:rsidR="003201E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兩年時間</w:t>
      </w:r>
      <w:r w:rsidR="00250C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內</w:t>
      </w:r>
      <w:r w:rsidR="00C638E2" w:rsidRPr="00C638E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學生</w:t>
      </w:r>
      <w:r w:rsidR="0003085E" w:rsidRPr="0003085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於</w:t>
      </w:r>
      <w:r w:rsidR="00BA22E2" w:rsidRPr="00BA22E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代數</w:t>
      </w:r>
      <w:r w:rsidR="00BA22E2" w:rsidRPr="00BA22E2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I</w:t>
      </w:r>
      <w:r w:rsidR="003201E8" w:rsidRPr="003201E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、</w:t>
      </w:r>
      <w:r w:rsidR="00BA22E2" w:rsidRPr="00BA22E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幾何和代數</w:t>
      </w:r>
      <w:r w:rsidR="00BA22E2" w:rsidRPr="00BA22E2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II</w:t>
      </w:r>
      <w:r w:rsidR="003201E8" w:rsidRPr="003201E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課程中考取合格成績</w:t>
      </w:r>
      <w:r w:rsidR="00BE332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</w:t>
      </w:r>
      <w:r w:rsidR="003201E8" w:rsidRPr="003201E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便</w:t>
      </w:r>
      <w:r w:rsidR="00BA22E2" w:rsidRPr="00BA22E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可以在</w:t>
      </w:r>
      <w:r w:rsidR="00BA22E2" w:rsidRPr="00BA22E2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11</w:t>
      </w:r>
      <w:r w:rsidR="00BA22E2" w:rsidRPr="00BA22E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和</w:t>
      </w:r>
      <w:r w:rsidR="00BA22E2" w:rsidRPr="00BA22E2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12</w:t>
      </w:r>
      <w:r w:rsidR="00BA22E2" w:rsidRPr="00BA22E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</w:t>
      </w:r>
      <w:r w:rsidR="003201E8" w:rsidRPr="003201E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="00BA22E2" w:rsidRPr="00BA22E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高等數學課程。</w:t>
      </w:r>
    </w:p>
    <w:p w:rsidR="000A5C25" w:rsidRPr="000A5C25" w:rsidRDefault="000A5C25" w:rsidP="000A5C2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</w:p>
    <w:p w:rsidR="000A5C25" w:rsidRPr="000A5C25" w:rsidRDefault="002A1735" w:rsidP="00F044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如</w:t>
      </w:r>
      <w:r w:rsidR="00C30BAC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學生</w:t>
      </w:r>
      <w:r w:rsidRPr="002A173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選擇</w:t>
      </w:r>
      <w:r w:rsidRPr="00AC3DB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加速課程</w:t>
      </w:r>
      <w:r w:rsidR="00C30BAC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，但不採</w:t>
      </w:r>
      <w:r w:rsidRPr="002A173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納</w:t>
      </w:r>
      <w:r w:rsidR="00C267F5" w:rsidRPr="00C267F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選項</w:t>
      </w:r>
      <w:r w:rsidR="005C2C4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="00C30BAC" w:rsidRPr="00C30BAC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1</w:t>
      </w:r>
      <w:r w:rsidR="00C30BAC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</w:t>
      </w:r>
      <w:r w:rsidR="00C30BAC" w:rsidRPr="00C30BAC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2</w:t>
      </w:r>
      <w:r w:rsidR="00C30BAC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，則他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/</w:t>
      </w:r>
      <w:r w:rsidR="00C30BAC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她可以選擇在</w:t>
      </w:r>
      <w:r w:rsidR="00C30BAC" w:rsidRPr="00C30BAC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11</w:t>
      </w:r>
      <w:r w:rsidR="00C30BAC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</w:t>
      </w:r>
      <w:r w:rsidRPr="002A173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="00C30BAC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榮譽高級數學</w:t>
      </w:r>
      <w:r w:rsidRPr="002A173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課程，</w:t>
      </w:r>
      <w:r w:rsidR="00C30BAC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而不</w:t>
      </w:r>
      <w:r w:rsidRPr="002A173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="00C30BAC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代數</w:t>
      </w:r>
      <w:r w:rsidR="00C30BAC" w:rsidRPr="00C30BAC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II</w:t>
      </w:r>
      <w:r w:rsidRPr="002A173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課程，以</w:t>
      </w:r>
      <w:r w:rsidR="00F044BE" w:rsidRPr="00F044B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此</w:t>
      </w:r>
      <w:r w:rsidRPr="002A173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作為學生的</w:t>
      </w:r>
      <w:r w:rsidR="00C30BAC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第三</w:t>
      </w:r>
      <w:r w:rsidR="00D04033" w:rsidRPr="00D0403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個</w:t>
      </w:r>
      <w:r w:rsidR="00C30BAC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選擇。</w:t>
      </w:r>
      <w:r w:rsidR="000A5C25" w:rsidRPr="000A5C25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</w:t>
      </w:r>
    </w:p>
    <w:p w:rsidR="000A5C25" w:rsidRPr="000A5C25" w:rsidRDefault="000A5C25" w:rsidP="000A5C2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</w:p>
    <w:p w:rsidR="000A5C25" w:rsidRPr="000A5C25" w:rsidRDefault="006C547E" w:rsidP="000A5C2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6C547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在</w:t>
      </w:r>
      <w:r w:rsidR="00D64BCC"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共同核心</w:t>
      </w:r>
      <w:r w:rsidRPr="006C547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代數</w:t>
      </w:r>
      <w:r w:rsidRPr="006C547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I</w:t>
      </w:r>
      <w:r w:rsidR="00D64BCC" w:rsidRPr="00D8229E">
        <w:rPr>
          <w:rFonts w:ascii="新細明體" w:eastAsia="新細明體" w:hAnsi="新細明體" w:cs="新細明體" w:hint="eastAsia"/>
          <w:b/>
          <w:i/>
          <w:sz w:val="24"/>
          <w:szCs w:val="24"/>
          <w:lang w:eastAsia="zh-TW"/>
        </w:rPr>
        <w:t>和</w:t>
      </w:r>
      <w:r w:rsidR="00D64BC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幾何中獲得</w:t>
      </w:r>
      <w:r w:rsidR="00D957C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6C547E">
        <w:rPr>
          <w:rFonts w:ascii="Calibri" w:eastAsia="Calibri" w:hAnsi="Calibri" w:cs="Calibri"/>
          <w:sz w:val="24"/>
          <w:szCs w:val="24"/>
          <w:lang w:eastAsia="zh-TW"/>
        </w:rPr>
        <w:t>“</w:t>
      </w:r>
      <w:r w:rsidRPr="006C547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B</w:t>
      </w:r>
      <w:r w:rsidRPr="006C547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”</w:t>
      </w:r>
      <w:r w:rsidRPr="006C547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</w:t>
      </w:r>
      <w:r w:rsidR="00D957C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6C547E">
        <w:rPr>
          <w:rFonts w:ascii="Calibri" w:eastAsia="Calibri" w:hAnsi="Calibri" w:cs="Calibri"/>
          <w:sz w:val="24"/>
          <w:szCs w:val="24"/>
          <w:lang w:eastAsia="zh-TW"/>
        </w:rPr>
        <w:t>“</w:t>
      </w:r>
      <w:r w:rsidRPr="006C547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A</w:t>
      </w:r>
      <w:r w:rsidRPr="006C547E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”</w:t>
      </w:r>
      <w:r w:rsidRPr="006C547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等級是</w:t>
      </w:r>
      <w:r w:rsidR="00651451" w:rsidRPr="0065145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Pr="006C547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榮譽高級數學課程的</w:t>
      </w:r>
      <w:r w:rsidR="00651451" w:rsidRPr="0065145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基本要求</w:t>
      </w:r>
      <w:r w:rsidRPr="006C547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資格。</w:t>
      </w:r>
      <w:r w:rsidR="000A5C25" w:rsidRPr="000A5C25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</w:t>
      </w:r>
    </w:p>
    <w:p w:rsidR="000A5C25" w:rsidRPr="000A5C25" w:rsidRDefault="000A5C25" w:rsidP="000A5C2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</w:p>
    <w:p w:rsidR="000A5C25" w:rsidRPr="000A5C25" w:rsidRDefault="006F0C2F" w:rsidP="000A5C2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6F0C2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即使學生沒有達到最低要求，家長</w:t>
      </w:r>
      <w:r w:rsidRPr="006F0C2F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/</w:t>
      </w:r>
      <w:r w:rsidRPr="006F0C2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監護人</w:t>
      </w:r>
      <w:r w:rsidR="00670D6F" w:rsidRPr="00670D6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仍然</w:t>
      </w:r>
      <w:r w:rsidRPr="006F0C2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可以選擇</w:t>
      </w:r>
      <w:r w:rsidR="00670D6F" w:rsidRPr="00670D6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為其子女參與</w:t>
      </w:r>
      <w:r w:rsidRPr="006F0C2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任何加速途徑。</w:t>
      </w:r>
      <w:r w:rsidR="000A5C25" w:rsidRPr="000A5C25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 </w:t>
      </w:r>
    </w:p>
    <w:p w:rsidR="000A5C25" w:rsidRPr="00E652E0" w:rsidRDefault="000A5C25" w:rsidP="000A5C25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zh-TW"/>
        </w:rPr>
      </w:pPr>
    </w:p>
    <w:p w:rsidR="000A5C25" w:rsidRPr="00E652E0" w:rsidRDefault="004D4598" w:rsidP="000A5C2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52E0">
        <w:rPr>
          <w:rFonts w:ascii="Times New Roman" w:eastAsia="Calibri" w:hAnsi="Times New Roman" w:cs="Times New Roman" w:hint="eastAsia"/>
          <w:b/>
          <w:sz w:val="24"/>
          <w:szCs w:val="24"/>
        </w:rPr>
        <w:t>*</w:t>
      </w:r>
      <w:r w:rsidRPr="00E652E0">
        <w:rPr>
          <w:rFonts w:ascii="新細明體" w:eastAsia="新細明體" w:hAnsi="新細明體" w:cs="新細明體" w:hint="eastAsia"/>
          <w:b/>
          <w:sz w:val="24"/>
          <w:szCs w:val="24"/>
        </w:rPr>
        <w:t>高中加速途徑選項示例：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143"/>
        <w:gridCol w:w="1890"/>
        <w:gridCol w:w="1710"/>
        <w:gridCol w:w="1620"/>
        <w:gridCol w:w="1350"/>
      </w:tblGrid>
      <w:tr w:rsidR="000A5C25" w:rsidRPr="000A5C25" w:rsidTr="00BD0659">
        <w:tc>
          <w:tcPr>
            <w:tcW w:w="2007" w:type="dxa"/>
            <w:shd w:val="clear" w:color="auto" w:fill="D9D9D9"/>
          </w:tcPr>
          <w:p w:rsidR="000A5C25" w:rsidRPr="000A5C25" w:rsidRDefault="00BD0659" w:rsidP="006E2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659"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級別</w:t>
            </w:r>
          </w:p>
        </w:tc>
        <w:tc>
          <w:tcPr>
            <w:tcW w:w="1143" w:type="dxa"/>
            <w:shd w:val="clear" w:color="auto" w:fill="D9D9D9"/>
          </w:tcPr>
          <w:p w:rsidR="000A5C25" w:rsidRPr="000A5C25" w:rsidRDefault="0098646E" w:rsidP="000A5C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46E">
              <w:rPr>
                <w:rFonts w:ascii="Times New Roman" w:eastAsia="Calibri" w:hAnsi="Times New Roman" w:cs="Times New Roman" w:hint="eastAsia"/>
                <w:b/>
                <w:sz w:val="24"/>
                <w:szCs w:val="24"/>
              </w:rPr>
              <w:t>8</w:t>
            </w:r>
            <w:r w:rsidRPr="0098646E"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年級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</w:tcPr>
          <w:p w:rsidR="000A5C25" w:rsidRPr="000A5C25" w:rsidRDefault="0098646E" w:rsidP="006E2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98646E"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年級</w:t>
            </w:r>
          </w:p>
        </w:tc>
        <w:tc>
          <w:tcPr>
            <w:tcW w:w="1710" w:type="dxa"/>
            <w:shd w:val="clear" w:color="auto" w:fill="D9D9D9"/>
          </w:tcPr>
          <w:p w:rsidR="000A5C25" w:rsidRPr="000A5C25" w:rsidRDefault="0098646E" w:rsidP="006E2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Pr="0098646E"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年級</w:t>
            </w:r>
          </w:p>
        </w:tc>
        <w:tc>
          <w:tcPr>
            <w:tcW w:w="1620" w:type="dxa"/>
            <w:shd w:val="clear" w:color="auto" w:fill="D9D9D9"/>
          </w:tcPr>
          <w:p w:rsidR="000A5C25" w:rsidRPr="000A5C25" w:rsidRDefault="0098646E" w:rsidP="006E2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98646E"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年級</w:t>
            </w:r>
          </w:p>
        </w:tc>
        <w:tc>
          <w:tcPr>
            <w:tcW w:w="1350" w:type="dxa"/>
            <w:shd w:val="clear" w:color="auto" w:fill="D9D9D9"/>
          </w:tcPr>
          <w:p w:rsidR="000A5C25" w:rsidRPr="000A5C25" w:rsidRDefault="0098646E" w:rsidP="006E2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Pr="0098646E"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年級</w:t>
            </w:r>
          </w:p>
        </w:tc>
      </w:tr>
      <w:tr w:rsidR="000A5C25" w:rsidRPr="000A5C25" w:rsidTr="00BD0659">
        <w:tc>
          <w:tcPr>
            <w:tcW w:w="2007" w:type="dxa"/>
            <w:shd w:val="clear" w:color="auto" w:fill="auto"/>
            <w:vAlign w:val="center"/>
          </w:tcPr>
          <w:p w:rsidR="000A5C25" w:rsidRPr="000A5C25" w:rsidRDefault="005E5950" w:rsidP="003201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950">
              <w:rPr>
                <w:rFonts w:ascii="新細明體" w:eastAsia="新細明體" w:hAnsi="新細明體" w:cs="新細明體" w:hint="eastAsia"/>
                <w:sz w:val="20"/>
                <w:szCs w:val="20"/>
              </w:rPr>
              <w:t>高中加速選項</w:t>
            </w:r>
            <w:r w:rsidRPr="005E5950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A5C25" w:rsidRPr="000A5C25" w:rsidRDefault="007C2A2E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A2E">
              <w:rPr>
                <w:rFonts w:ascii="新細明體" w:eastAsia="新細明體" w:hAnsi="新細明體" w:cs="新細明體" w:hint="eastAsia"/>
                <w:sz w:val="20"/>
                <w:szCs w:val="20"/>
              </w:rPr>
              <w:t>核心數學</w:t>
            </w:r>
            <w:r w:rsidRPr="007C2A2E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0501" w:rsidRPr="00310501" w:rsidRDefault="00310501" w:rsidP="00310501">
            <w:pPr>
              <w:spacing w:after="0"/>
              <w:jc w:val="center"/>
              <w:rPr>
                <w:rFonts w:ascii="Times New Roman" w:eastAsia="Calibri" w:hAnsi="Times New Roman" w:cs="Times New Roman" w:hint="eastAsia"/>
                <w:sz w:val="20"/>
                <w:szCs w:val="20"/>
                <w:lang w:eastAsia="zh-TW"/>
              </w:rPr>
            </w:pPr>
            <w:r w:rsidRPr="00310501">
              <w:rPr>
                <w:rFonts w:ascii="Times New Roman" w:eastAsia="Calibri" w:hAnsi="Times New Roman" w:cs="Times New Roman" w:hint="eastAsia"/>
                <w:sz w:val="20"/>
                <w:szCs w:val="20"/>
                <w:lang w:eastAsia="zh-TW"/>
              </w:rPr>
              <w:t>CC</w:t>
            </w:r>
            <w:r w:rsidRPr="0031050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代數</w:t>
            </w:r>
            <w:r w:rsidRPr="00310501">
              <w:rPr>
                <w:rFonts w:ascii="Times New Roman" w:eastAsia="Calibri" w:hAnsi="Times New Roman" w:cs="Times New Roman" w:hint="eastAsia"/>
                <w:sz w:val="20"/>
                <w:szCs w:val="20"/>
                <w:lang w:eastAsia="zh-TW"/>
              </w:rPr>
              <w:t>1</w:t>
            </w:r>
            <w:r w:rsidRPr="0031050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和</w:t>
            </w:r>
          </w:p>
          <w:p w:rsidR="00310501" w:rsidRPr="00310501" w:rsidRDefault="00310501" w:rsidP="00310501">
            <w:pPr>
              <w:spacing w:after="0"/>
              <w:jc w:val="center"/>
              <w:rPr>
                <w:rFonts w:ascii="Times New Roman" w:eastAsia="Calibri" w:hAnsi="Times New Roman" w:cs="Times New Roman" w:hint="eastAsia"/>
                <w:sz w:val="20"/>
                <w:szCs w:val="20"/>
                <w:lang w:eastAsia="zh-TW"/>
              </w:rPr>
            </w:pPr>
            <w:r w:rsidRPr="00310501">
              <w:rPr>
                <w:rFonts w:ascii="Times New Roman" w:eastAsia="Calibri" w:hAnsi="Times New Roman" w:cs="Times New Roman" w:hint="eastAsia"/>
                <w:sz w:val="20"/>
                <w:szCs w:val="20"/>
                <w:lang w:eastAsia="zh-TW"/>
              </w:rPr>
              <w:t>CC</w:t>
            </w:r>
            <w:r w:rsidRPr="0031050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幾何</w:t>
            </w:r>
          </w:p>
          <w:p w:rsidR="000A5C25" w:rsidRPr="000A5C25" w:rsidRDefault="00310501" w:rsidP="00310501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zh-TW"/>
              </w:rPr>
            </w:pPr>
            <w:r w:rsidRPr="0031050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（同時入讀）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C25" w:rsidRPr="000A5C25" w:rsidRDefault="008303FB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03FB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CC</w:t>
            </w:r>
            <w:r w:rsidRPr="008303FB">
              <w:rPr>
                <w:rFonts w:ascii="新細明體" w:eastAsia="新細明體" w:hAnsi="新細明體" w:cs="新細明體" w:hint="eastAsia"/>
                <w:sz w:val="20"/>
                <w:szCs w:val="20"/>
              </w:rPr>
              <w:t>代數</w:t>
            </w:r>
            <w:r w:rsidRPr="008303FB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C25" w:rsidRPr="000A5C25" w:rsidRDefault="00C80686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686">
              <w:rPr>
                <w:rFonts w:ascii="新細明體" w:eastAsia="新細明體" w:hAnsi="新細明體" w:cs="新細明體" w:hint="eastAsia"/>
                <w:sz w:val="20"/>
                <w:szCs w:val="20"/>
              </w:rPr>
              <w:t>前微積分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A5C25" w:rsidRPr="000A5C25" w:rsidRDefault="0080033C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33C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AP</w:t>
            </w:r>
            <w:r w:rsidRPr="0080033C">
              <w:rPr>
                <w:rFonts w:ascii="新細明體" w:eastAsia="新細明體" w:hAnsi="新細明體" w:cs="新細明體" w:hint="eastAsia"/>
                <w:sz w:val="20"/>
                <w:szCs w:val="20"/>
              </w:rPr>
              <w:t>微積分</w:t>
            </w:r>
          </w:p>
        </w:tc>
      </w:tr>
      <w:tr w:rsidR="000A5C25" w:rsidRPr="000A5C25" w:rsidTr="00BD0659">
        <w:tc>
          <w:tcPr>
            <w:tcW w:w="2007" w:type="dxa"/>
            <w:shd w:val="clear" w:color="auto" w:fill="auto"/>
            <w:vAlign w:val="center"/>
          </w:tcPr>
          <w:p w:rsidR="000A5C25" w:rsidRPr="000A5C25" w:rsidRDefault="005E5950" w:rsidP="00753B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950">
              <w:rPr>
                <w:rFonts w:ascii="新細明體" w:eastAsia="新細明體" w:hAnsi="新細明體" w:cs="新細明體" w:hint="eastAsia"/>
                <w:sz w:val="20"/>
                <w:szCs w:val="20"/>
              </w:rPr>
              <w:t>高中加速選項</w:t>
            </w:r>
            <w:r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A5C25" w:rsidRPr="000A5C25" w:rsidRDefault="007C2A2E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A2E">
              <w:rPr>
                <w:rFonts w:ascii="新細明體" w:eastAsia="新細明體" w:hAnsi="新細明體" w:cs="新細明體" w:hint="eastAsia"/>
                <w:sz w:val="20"/>
                <w:szCs w:val="20"/>
              </w:rPr>
              <w:t>核心數學</w:t>
            </w:r>
            <w:r w:rsidRPr="007C2A2E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0A5C25" w:rsidRPr="000A5C25" w:rsidRDefault="00AD18D7" w:rsidP="000A5C25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D18D7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CC</w:t>
            </w:r>
            <w:r w:rsidRPr="00AD18D7">
              <w:rPr>
                <w:rFonts w:ascii="新細明體" w:eastAsia="新細明體" w:hAnsi="新細明體" w:cs="新細明體" w:hint="eastAsia"/>
                <w:sz w:val="20"/>
                <w:szCs w:val="20"/>
              </w:rPr>
              <w:t>代數</w:t>
            </w:r>
            <w:r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1A13AC" w:rsidRPr="001A13AC" w:rsidRDefault="001A13AC" w:rsidP="001A13AC">
            <w:pPr>
              <w:spacing w:after="0"/>
              <w:jc w:val="center"/>
              <w:rPr>
                <w:rFonts w:ascii="Times New Roman" w:eastAsia="Calibri" w:hAnsi="Times New Roman" w:cs="Times New Roman" w:hint="eastAsia"/>
                <w:sz w:val="20"/>
                <w:szCs w:val="20"/>
                <w:lang w:eastAsia="zh-TW"/>
              </w:rPr>
            </w:pPr>
            <w:r w:rsidRPr="001A13AC">
              <w:rPr>
                <w:rFonts w:ascii="Times New Roman" w:eastAsia="Calibri" w:hAnsi="Times New Roman" w:cs="Times New Roman" w:hint="eastAsia"/>
                <w:sz w:val="20"/>
                <w:szCs w:val="20"/>
                <w:lang w:eastAsia="zh-TW"/>
              </w:rPr>
              <w:t>CC</w:t>
            </w:r>
            <w:r w:rsidRPr="001A13A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代數</w:t>
            </w:r>
            <w:r w:rsidRPr="001A13AC">
              <w:rPr>
                <w:rFonts w:ascii="Times New Roman" w:eastAsia="Calibri" w:hAnsi="Times New Roman" w:cs="Times New Roman" w:hint="eastAsia"/>
                <w:sz w:val="20"/>
                <w:szCs w:val="20"/>
                <w:lang w:eastAsia="zh-TW"/>
              </w:rPr>
              <w:t>2</w:t>
            </w:r>
            <w:r w:rsidRPr="001A13A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和</w:t>
            </w:r>
          </w:p>
          <w:p w:rsidR="001A13AC" w:rsidRPr="001A13AC" w:rsidRDefault="001A13AC" w:rsidP="001A13AC">
            <w:pPr>
              <w:spacing w:after="0"/>
              <w:jc w:val="center"/>
              <w:rPr>
                <w:rFonts w:ascii="Times New Roman" w:eastAsia="Calibri" w:hAnsi="Times New Roman" w:cs="Times New Roman" w:hint="eastAsia"/>
                <w:sz w:val="20"/>
                <w:szCs w:val="20"/>
                <w:lang w:eastAsia="zh-TW"/>
              </w:rPr>
            </w:pPr>
            <w:r w:rsidRPr="001A13AC">
              <w:rPr>
                <w:rFonts w:ascii="Times New Roman" w:eastAsia="Calibri" w:hAnsi="Times New Roman" w:cs="Times New Roman" w:hint="eastAsia"/>
                <w:sz w:val="20"/>
                <w:szCs w:val="20"/>
                <w:lang w:eastAsia="zh-TW"/>
              </w:rPr>
              <w:t>CC</w:t>
            </w:r>
            <w:r w:rsidRPr="001A13A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幾何</w:t>
            </w:r>
          </w:p>
          <w:p w:rsidR="000A5C25" w:rsidRPr="000A5C25" w:rsidRDefault="001A13AC" w:rsidP="001A13AC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TW"/>
              </w:rPr>
            </w:pPr>
            <w:r w:rsidRPr="001A13A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（同時</w:t>
            </w:r>
            <w:r w:rsidRPr="00310501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入讀</w:t>
            </w:r>
            <w:r w:rsidRPr="001A13AC">
              <w:rPr>
                <w:rFonts w:ascii="新細明體" w:eastAsia="新細明體" w:hAnsi="新細明體" w:cs="新細明體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5C25" w:rsidRPr="000A5C25" w:rsidRDefault="00C80686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686">
              <w:rPr>
                <w:rFonts w:ascii="新細明體" w:eastAsia="新細明體" w:hAnsi="新細明體" w:cs="新細明體" w:hint="eastAsia"/>
                <w:sz w:val="20"/>
                <w:szCs w:val="20"/>
              </w:rPr>
              <w:t>前微積分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A5C25" w:rsidRPr="000A5C25" w:rsidRDefault="0080033C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33C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AP</w:t>
            </w:r>
            <w:r w:rsidRPr="0080033C">
              <w:rPr>
                <w:rFonts w:ascii="新細明體" w:eastAsia="新細明體" w:hAnsi="新細明體" w:cs="新細明體" w:hint="eastAsia"/>
                <w:sz w:val="20"/>
                <w:szCs w:val="20"/>
              </w:rPr>
              <w:t>微積分</w:t>
            </w:r>
          </w:p>
        </w:tc>
      </w:tr>
      <w:tr w:rsidR="000A5C25" w:rsidRPr="000A5C25" w:rsidTr="00BD0659">
        <w:tc>
          <w:tcPr>
            <w:tcW w:w="2007" w:type="dxa"/>
            <w:shd w:val="clear" w:color="auto" w:fill="auto"/>
            <w:vAlign w:val="center"/>
          </w:tcPr>
          <w:p w:rsidR="000A5C25" w:rsidRPr="000A5C25" w:rsidRDefault="005E5950" w:rsidP="000C23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E5950">
              <w:rPr>
                <w:rFonts w:ascii="新細明體" w:eastAsia="新細明體" w:hAnsi="新細明體" w:cs="新細明體" w:hint="eastAsia"/>
                <w:sz w:val="20"/>
                <w:szCs w:val="20"/>
              </w:rPr>
              <w:t>高中加速選項</w:t>
            </w:r>
            <w:r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0A5C25" w:rsidRPr="000A5C25" w:rsidRDefault="007C2A2E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A2E">
              <w:rPr>
                <w:rFonts w:ascii="新細明體" w:eastAsia="新細明體" w:hAnsi="新細明體" w:cs="新細明體" w:hint="eastAsia"/>
                <w:sz w:val="20"/>
                <w:szCs w:val="20"/>
              </w:rPr>
              <w:t>核心數學</w:t>
            </w:r>
            <w:r w:rsidRPr="007C2A2E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A5C25" w:rsidRPr="000A5C25" w:rsidRDefault="00AD18D7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18D7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CC</w:t>
            </w:r>
            <w:r w:rsidRPr="00AD18D7">
              <w:rPr>
                <w:rFonts w:ascii="新細明體" w:eastAsia="新細明體" w:hAnsi="新細明體" w:cs="新細明體" w:hint="eastAsia"/>
                <w:sz w:val="20"/>
                <w:szCs w:val="20"/>
              </w:rPr>
              <w:t>代數</w:t>
            </w:r>
            <w:r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A5C25" w:rsidRPr="000A5C25" w:rsidRDefault="006074D2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74D2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CC</w:t>
            </w:r>
            <w:r w:rsidRPr="006074D2">
              <w:rPr>
                <w:rFonts w:ascii="新細明體" w:eastAsia="新細明體" w:hAnsi="新細明體" w:cs="新細明體" w:hint="eastAsia"/>
                <w:sz w:val="20"/>
                <w:szCs w:val="20"/>
              </w:rPr>
              <w:t>幾何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A5C25" w:rsidRPr="000A5C25" w:rsidRDefault="00C80686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686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**</w:t>
            </w:r>
            <w:r w:rsidRPr="00C80686">
              <w:rPr>
                <w:rFonts w:ascii="新細明體" w:eastAsia="新細明體" w:hAnsi="新細明體" w:cs="新細明體" w:hint="eastAsia"/>
                <w:sz w:val="20"/>
                <w:szCs w:val="20"/>
              </w:rPr>
              <w:t>榮譽高級數學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A5C25" w:rsidRPr="000A5C25" w:rsidRDefault="0080033C" w:rsidP="000A5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33C">
              <w:rPr>
                <w:rFonts w:ascii="Times New Roman" w:eastAsia="Calibri" w:hAnsi="Times New Roman" w:cs="Times New Roman" w:hint="eastAsia"/>
                <w:sz w:val="20"/>
                <w:szCs w:val="20"/>
              </w:rPr>
              <w:t>AP</w:t>
            </w:r>
            <w:r w:rsidRPr="0080033C">
              <w:rPr>
                <w:rFonts w:ascii="新細明體" w:eastAsia="新細明體" w:hAnsi="新細明體" w:cs="新細明體" w:hint="eastAsia"/>
                <w:sz w:val="20"/>
                <w:szCs w:val="20"/>
              </w:rPr>
              <w:t>微積分</w:t>
            </w:r>
          </w:p>
        </w:tc>
      </w:tr>
    </w:tbl>
    <w:p w:rsidR="000A5C25" w:rsidRPr="000A5C25" w:rsidRDefault="000A5C25" w:rsidP="000A5C25">
      <w:pPr>
        <w:ind w:firstLine="720"/>
        <w:jc w:val="both"/>
        <w:rPr>
          <w:rFonts w:ascii="Times New Roman" w:eastAsia="Calibri" w:hAnsi="Times New Roman" w:cs="Times New Roman"/>
        </w:rPr>
      </w:pPr>
      <w:r w:rsidRPr="000A5C25">
        <w:rPr>
          <w:rFonts w:ascii="Times New Roman" w:eastAsia="Calibri" w:hAnsi="Times New Roman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C2108" wp14:editId="089BFD29">
                <wp:simplePos x="0" y="0"/>
                <wp:positionH relativeFrom="column">
                  <wp:posOffset>189230</wp:posOffset>
                </wp:positionH>
                <wp:positionV relativeFrom="paragraph">
                  <wp:posOffset>24765</wp:posOffset>
                </wp:positionV>
                <wp:extent cx="245979" cy="112094"/>
                <wp:effectExtent l="0" t="0" r="2095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79" cy="11209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6A55" w:rsidRDefault="00836A55" w:rsidP="000A5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C2108" id="Text Box 6" o:spid="_x0000_s1027" type="#_x0000_t202" style="position:absolute;left:0;text-align:left;margin-left:14.9pt;margin-top:1.95pt;width:19.35pt;height: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" fillcolor="#bfbfbf" strokeweight=".5pt">
                <v:textbox>
                  <w:txbxContent>
                    <w:p w:rsidR="00836A55" w:rsidRDefault="00836A55" w:rsidP="000A5C25"/>
                  </w:txbxContent>
                </v:textbox>
              </v:shape>
            </w:pict>
          </mc:Fallback>
        </mc:AlternateContent>
      </w:r>
      <w:r w:rsidR="009A0147">
        <w:rPr>
          <w:rFonts w:ascii="新細明體" w:eastAsia="新細明體" w:hAnsi="新細明體" w:cs="新細明體" w:hint="eastAsia"/>
        </w:rPr>
        <w:t xml:space="preserve"> </w:t>
      </w:r>
      <w:r w:rsidR="009A0147" w:rsidRPr="009A0147">
        <w:rPr>
          <w:rFonts w:ascii="新細明體" w:eastAsia="新細明體" w:hAnsi="新細明體" w:cs="新細明體" w:hint="eastAsia"/>
        </w:rPr>
        <w:t>表示</w:t>
      </w:r>
      <w:r w:rsidR="006C6487" w:rsidRPr="006C6487">
        <w:rPr>
          <w:rFonts w:ascii="新細明體" w:eastAsia="新細明體" w:hAnsi="新細明體" w:cs="新細明體" w:hint="eastAsia"/>
        </w:rPr>
        <w:t>為</w:t>
      </w:r>
      <w:r w:rsidR="009A0147" w:rsidRPr="009A0147">
        <w:rPr>
          <w:rFonts w:ascii="新細明體" w:eastAsia="新細明體" w:hAnsi="新細明體" w:cs="新細明體" w:hint="eastAsia"/>
        </w:rPr>
        <w:t>加速課程。</w:t>
      </w:r>
    </w:p>
    <w:p w:rsidR="000A5C25" w:rsidRPr="000A5C25" w:rsidRDefault="003F5533" w:rsidP="000A5C2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F5533">
        <w:rPr>
          <w:rFonts w:ascii="新細明體" w:eastAsia="新細明體" w:hAnsi="新細明體" w:cs="新細明體" w:hint="eastAsia"/>
          <w:b/>
          <w:sz w:val="24"/>
          <w:szCs w:val="24"/>
        </w:rPr>
        <w:t>對加速途徑需要考慮的事項</w:t>
      </w:r>
    </w:p>
    <w:p w:rsidR="000A5C25" w:rsidRPr="000A5C25" w:rsidRDefault="00CC3B10" w:rsidP="000A5C25">
      <w:pPr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E96D70">
        <w:rPr>
          <w:rFonts w:hint="eastAsia"/>
          <w:lang w:eastAsia="zh-TW"/>
        </w:rPr>
        <w:t>由於加速途徑要求嚴格，學生和家長</w:t>
      </w:r>
      <w:r w:rsidRPr="00E96D70">
        <w:rPr>
          <w:rFonts w:hint="eastAsia"/>
          <w:lang w:eastAsia="zh-TW"/>
        </w:rPr>
        <w:t>/</w:t>
      </w:r>
      <w:r w:rsidRPr="00E96D70">
        <w:rPr>
          <w:rFonts w:hint="eastAsia"/>
          <w:lang w:eastAsia="zh-TW"/>
        </w:rPr>
        <w:t>監護人需</w:t>
      </w:r>
      <w:r w:rsidR="00112FDF" w:rsidRPr="00112FDF">
        <w:rPr>
          <w:rFonts w:hint="eastAsia"/>
          <w:lang w:eastAsia="zh-TW"/>
        </w:rPr>
        <w:t>先</w:t>
      </w:r>
      <w:r w:rsidRPr="00E96D70">
        <w:rPr>
          <w:rFonts w:hint="eastAsia"/>
          <w:lang w:eastAsia="zh-TW"/>
        </w:rPr>
        <w:t>認真考慮其他數學課程選項。</w:t>
      </w:r>
      <w:r w:rsidRPr="00E96D70">
        <w:rPr>
          <w:rFonts w:hint="eastAsia"/>
          <w:lang w:eastAsia="zh-TW"/>
        </w:rPr>
        <w:t xml:space="preserve"> </w:t>
      </w:r>
      <w:r w:rsidRPr="00E96D70">
        <w:rPr>
          <w:rFonts w:hint="eastAsia"/>
          <w:lang w:eastAsia="zh-TW"/>
        </w:rPr>
        <w:t>決定採用加速數學途徑的學生必須作出個人承諾，入讀高級數學課程和</w:t>
      </w:r>
      <w:r w:rsidRPr="00E96D70">
        <w:rPr>
          <w:rFonts w:hint="eastAsia"/>
          <w:lang w:eastAsia="zh-TW"/>
        </w:rPr>
        <w:t>/</w:t>
      </w:r>
      <w:r w:rsidRPr="00E96D70">
        <w:rPr>
          <w:rFonts w:hint="eastAsia"/>
          <w:lang w:eastAsia="zh-TW"/>
        </w:rPr>
        <w:t>或於同一學年入讀兩個數學課程。</w:t>
      </w:r>
      <w:r w:rsidRPr="00E96D70">
        <w:rPr>
          <w:rFonts w:hint="eastAsia"/>
          <w:lang w:eastAsia="zh-TW"/>
        </w:rPr>
        <w:t xml:space="preserve"> </w:t>
      </w:r>
      <w:r w:rsidRPr="00E96D70">
        <w:rPr>
          <w:rFonts w:hint="eastAsia"/>
          <w:lang w:eastAsia="zh-TW"/>
        </w:rPr>
        <w:t>學生和家長</w:t>
      </w:r>
      <w:r w:rsidRPr="00E96D70">
        <w:rPr>
          <w:rFonts w:hint="eastAsia"/>
          <w:lang w:eastAsia="zh-TW"/>
        </w:rPr>
        <w:t>/</w:t>
      </w:r>
      <w:r w:rsidRPr="00E96D70">
        <w:rPr>
          <w:rFonts w:hint="eastAsia"/>
          <w:lang w:eastAsia="zh-TW"/>
        </w:rPr>
        <w:t>監護人應該向其學術</w:t>
      </w:r>
      <w:r w:rsidR="00C349C6" w:rsidRPr="006E269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輔導員</w:t>
      </w:r>
      <w:r w:rsidRPr="00E96D70">
        <w:rPr>
          <w:rFonts w:hint="eastAsia"/>
          <w:lang w:eastAsia="zh-TW"/>
        </w:rPr>
        <w:t>諮詢有關數學課程選擇。</w:t>
      </w:r>
      <w:r w:rsidRPr="00E96D70">
        <w:rPr>
          <w:rFonts w:hint="eastAsia"/>
          <w:lang w:eastAsia="zh-TW"/>
        </w:rPr>
        <w:t xml:space="preserve"> </w:t>
      </w:r>
      <w:r w:rsidRPr="00E96D70">
        <w:rPr>
          <w:rFonts w:hint="eastAsia"/>
          <w:lang w:eastAsia="zh-TW"/>
        </w:rPr>
        <w:t>每位學生及其家長</w:t>
      </w:r>
      <w:r w:rsidRPr="00E96D70">
        <w:rPr>
          <w:rFonts w:hint="eastAsia"/>
          <w:lang w:eastAsia="zh-TW"/>
        </w:rPr>
        <w:t>/</w:t>
      </w:r>
      <w:r w:rsidRPr="00E96D70">
        <w:rPr>
          <w:rFonts w:hint="eastAsia"/>
          <w:lang w:eastAsia="zh-TW"/>
        </w:rPr>
        <w:t>監護人在簽署之前都應仔細閱讀「高中加速協議」表格。</w:t>
      </w:r>
      <w:r w:rsidR="000A5C25" w:rsidRPr="000A5C25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 </w:t>
      </w:r>
    </w:p>
    <w:p w:rsidR="000A5C25" w:rsidRPr="000A5C25" w:rsidRDefault="006E2699" w:rsidP="000A5C25">
      <w:pPr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6E269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輔導員</w:t>
      </w:r>
      <w:r w:rsidR="00431C53" w:rsidRPr="00431C5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、</w:t>
      </w:r>
      <w:r w:rsidRPr="006E269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學生和家長在考慮</w:t>
      </w:r>
      <w:r w:rsidRPr="00431C53">
        <w:rPr>
          <w:rFonts w:ascii="新細明體" w:eastAsia="新細明體" w:hAnsi="新細明體" w:cs="新細明體" w:hint="eastAsia"/>
          <w:i/>
          <w:sz w:val="24"/>
          <w:szCs w:val="24"/>
          <w:lang w:eastAsia="zh-TW"/>
        </w:rPr>
        <w:t>任何</w:t>
      </w:r>
      <w:r w:rsidRPr="006E269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加速途徑時應</w:t>
      </w:r>
      <w:r w:rsidR="003A574D" w:rsidRPr="003A574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作</w:t>
      </w:r>
      <w:r w:rsidR="003A574D" w:rsidRPr="006E269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多</w:t>
      </w:r>
      <w:r w:rsidR="00E14DF4" w:rsidRPr="00E14DF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方</w:t>
      </w:r>
      <w:r w:rsidR="003A574D" w:rsidRPr="006E269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客觀</w:t>
      </w:r>
      <w:r w:rsidRPr="006E269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和主觀</w:t>
      </w:r>
      <w:r w:rsidR="006F4B0C" w:rsidRPr="006E269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考慮</w:t>
      </w:r>
      <w:r w:rsidRPr="006E269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。</w:t>
      </w:r>
      <w:r w:rsidR="000A5C25" w:rsidRPr="000A5C25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</w:t>
      </w:r>
    </w:p>
    <w:p w:rsidR="000A5C25" w:rsidRPr="008804DB" w:rsidRDefault="00534049" w:rsidP="000A5C25">
      <w:pPr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53404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建議</w:t>
      </w:r>
      <w:r w:rsidR="001D451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考</w:t>
      </w:r>
      <w:r w:rsidR="001D4511" w:rsidRPr="00937E8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慮選擇</w:t>
      </w:r>
      <w:r w:rsidR="001D4511" w:rsidRPr="001B6B1B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加速選項</w:t>
      </w:r>
      <w:r w:rsidR="001D4511" w:rsidRPr="001B6B1B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1</w:t>
      </w:r>
      <w:r w:rsidR="001D4511" w:rsidRPr="001B6B1B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和選項</w:t>
      </w:r>
      <w:r w:rsidR="001D4511" w:rsidRPr="001B6B1B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2</w:t>
      </w:r>
      <w:r w:rsidR="001D4511" w:rsidRPr="00937E8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的學生</w:t>
      </w:r>
      <w:r w:rsidR="001D4511" w:rsidRPr="001B6B1B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</w:t>
      </w:r>
      <w:r w:rsidR="00937E87" w:rsidRPr="00937E8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於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8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年級智慧平衡數學成績</w:t>
      </w:r>
      <w:r w:rsidR="00937E87" w:rsidRPr="00937E8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要獲得</w:t>
      </w:r>
      <w:r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「達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標</w:t>
      </w:r>
      <w:r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」</w:t>
      </w:r>
      <w:r w:rsidRPr="0073653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</w:t>
      </w:r>
      <w:r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「超出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標準</w:t>
      </w:r>
      <w:r w:rsidRPr="007B33B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」</w:t>
      </w:r>
      <w:r w:rsidRPr="0053404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，而在</w:t>
      </w:r>
      <w:r w:rsidRPr="001B6B1B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前一學期</w:t>
      </w:r>
      <w:r w:rsidRPr="0053404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數學課程</w:t>
      </w:r>
      <w:r w:rsidRPr="001B6B1B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分數</w:t>
      </w:r>
      <w:r w:rsidRPr="0053404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亦</w:t>
      </w:r>
      <w:r w:rsidR="00937E87" w:rsidRPr="00937E8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要獲得</w:t>
      </w:r>
      <w:r w:rsidR="00937E8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1B6B1B">
        <w:rPr>
          <w:rFonts w:ascii="Calibri" w:eastAsia="Calibri" w:hAnsi="Calibri" w:cs="Calibri"/>
          <w:sz w:val="24"/>
          <w:szCs w:val="24"/>
          <w:lang w:eastAsia="zh-TW"/>
        </w:rPr>
        <w:t>“</w:t>
      </w:r>
      <w:r w:rsidRPr="001B6B1B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B</w:t>
      </w:r>
      <w:r w:rsidRPr="001B6B1B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”</w:t>
      </w:r>
      <w:r w:rsidRPr="001B6B1B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</w:t>
      </w:r>
      <w:r w:rsidR="00937E8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1B6B1B">
        <w:rPr>
          <w:rFonts w:ascii="Calibri" w:eastAsia="Calibri" w:hAnsi="Calibri" w:cs="Calibri"/>
          <w:sz w:val="24"/>
          <w:szCs w:val="24"/>
          <w:lang w:eastAsia="zh-TW"/>
        </w:rPr>
        <w:t>“</w:t>
      </w:r>
      <w:r w:rsidRPr="001B6B1B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A</w:t>
      </w:r>
      <w:r w:rsidRPr="001B6B1B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”</w:t>
      </w:r>
      <w:r w:rsidR="00937E87" w:rsidRPr="00937E87">
        <w:rPr>
          <w:rFonts w:hint="eastAsia"/>
          <w:lang w:eastAsia="zh-TW"/>
        </w:rPr>
        <w:t xml:space="preserve"> </w:t>
      </w:r>
      <w:r w:rsidR="00937E87" w:rsidRPr="00937E8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等級</w:t>
      </w:r>
      <w:r w:rsidRPr="0053404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。</w:t>
      </w:r>
      <w:r w:rsidR="000A5C25" w:rsidRPr="000A5C25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  </w:t>
      </w:r>
    </w:p>
    <w:p w:rsidR="000A5C25" w:rsidRPr="000A5C25" w:rsidRDefault="00126B0B" w:rsidP="000A5C25">
      <w:pPr>
        <w:rPr>
          <w:rFonts w:ascii="Times New Roman" w:eastAsia="Calibri" w:hAnsi="Times New Roman" w:cs="Times New Roman"/>
          <w:sz w:val="23"/>
          <w:szCs w:val="23"/>
          <w:lang w:eastAsia="zh-TW"/>
        </w:rPr>
      </w:pPr>
      <w:r>
        <w:rPr>
          <w:rFonts w:ascii="Times New Roman" w:eastAsia="Calibri" w:hAnsi="Times New Roman" w:cs="Times New Roman"/>
          <w:sz w:val="23"/>
          <w:szCs w:val="23"/>
          <w:lang w:eastAsia="zh-TW"/>
        </w:rPr>
        <w:t xml:space="preserve"> </w:t>
      </w:r>
    </w:p>
    <w:p w:rsidR="000A5C25" w:rsidRPr="000A5C25" w:rsidRDefault="00FA5DDD" w:rsidP="000A5C25">
      <w:pPr>
        <w:rPr>
          <w:rFonts w:ascii="Times New Roman" w:eastAsia="Calibri" w:hAnsi="Times New Roman" w:cs="Times New Roman"/>
          <w:sz w:val="24"/>
          <w:szCs w:val="24"/>
        </w:rPr>
      </w:pPr>
      <w:r w:rsidRPr="00FA5DDD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*</w:t>
      </w:r>
      <w:r w:rsidRPr="00FA5DD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請注意，列出的示例數學課程可能並不適用於所有學校。</w:t>
      </w:r>
      <w:r w:rsidRPr="00FA5DDD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 xml:space="preserve"> **</w:t>
      </w:r>
      <w:r w:rsidRPr="00FA5DD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成功完成</w:t>
      </w:r>
      <w:r w:rsidR="00B83C15"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榮譽高級數學</w:t>
      </w:r>
      <w:r w:rsidR="00B83C15" w:rsidRPr="002A173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</w:t>
      </w:r>
      <w:r w:rsidR="00B83C1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並</w:t>
      </w:r>
      <w:r w:rsidR="00B83C15" w:rsidRPr="00B83C1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獲</w:t>
      </w:r>
      <w:r w:rsidRPr="00FA5DDD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C</w:t>
      </w:r>
      <w:r w:rsidR="00B83C15" w:rsidRPr="00B83C1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級</w:t>
      </w:r>
      <w:r w:rsidRPr="00FA5DD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</w:t>
      </w:r>
      <w:r w:rsidR="00B83C15" w:rsidRPr="00B83C1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以上</w:t>
      </w:r>
      <w:r w:rsidRPr="00FA5DD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的學生可以在</w:t>
      </w:r>
      <w:r w:rsidRPr="00FA5DDD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12</w:t>
      </w:r>
      <w:r w:rsidRPr="00FA5DD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年級報</w:t>
      </w:r>
      <w:r w:rsidR="00B83C15" w:rsidRPr="00B83C1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讀</w:t>
      </w:r>
      <w:r w:rsidRPr="00FA5DDD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AP</w:t>
      </w:r>
      <w:r w:rsidRPr="00FA5DD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微積分課程。</w:t>
      </w:r>
    </w:p>
    <w:p w:rsidR="000A5C25" w:rsidRPr="000A5C25" w:rsidRDefault="0095393D" w:rsidP="000A5C2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5393D">
        <w:rPr>
          <w:rFonts w:ascii="新細明體" w:eastAsia="新細明體" w:hAnsi="新細明體" w:cs="新細明體" w:hint="eastAsia"/>
          <w:b/>
          <w:sz w:val="24"/>
          <w:szCs w:val="24"/>
        </w:rPr>
        <w:t>持</w:t>
      </w:r>
      <w:r w:rsidRPr="002B2F23">
        <w:rPr>
          <w:rFonts w:ascii="新細明體" w:eastAsia="新細明體" w:hAnsi="新細明體" w:cs="新細明體" w:hint="eastAsia"/>
          <w:b/>
          <w:sz w:val="24"/>
          <w:szCs w:val="24"/>
        </w:rPr>
        <w:t>續成功</w:t>
      </w:r>
      <w:r w:rsidR="001706A8" w:rsidRPr="001706A8">
        <w:rPr>
          <w:rFonts w:ascii="新細明體" w:eastAsia="新細明體" w:hAnsi="新細明體" w:cs="新細明體" w:hint="eastAsia"/>
          <w:b/>
          <w:sz w:val="24"/>
          <w:szCs w:val="24"/>
        </w:rPr>
        <w:t>及</w:t>
      </w:r>
      <w:r w:rsidRPr="0095393D">
        <w:rPr>
          <w:rFonts w:ascii="新細明體" w:eastAsia="新細明體" w:hAnsi="新細明體" w:cs="新細明體" w:hint="eastAsia"/>
          <w:b/>
          <w:sz w:val="24"/>
          <w:szCs w:val="24"/>
        </w:rPr>
        <w:t>入讀加</w:t>
      </w:r>
      <w:r w:rsidR="001706A8">
        <w:rPr>
          <w:rFonts w:ascii="新細明體" w:eastAsia="新細明體" w:hAnsi="新細明體" w:cs="新細明體" w:hint="eastAsia"/>
          <w:b/>
          <w:sz w:val="24"/>
          <w:szCs w:val="24"/>
        </w:rPr>
        <w:t>速課程</w:t>
      </w:r>
    </w:p>
    <w:p w:rsidR="000A5C25" w:rsidRPr="000A5C25" w:rsidRDefault="00C37FDF" w:rsidP="000A5C25">
      <w:pPr>
        <w:rPr>
          <w:rFonts w:ascii="Times New Roman" w:eastAsia="Calibri" w:hAnsi="Times New Roman" w:cs="Times New Roman"/>
          <w:sz w:val="24"/>
          <w:szCs w:val="24"/>
        </w:rPr>
      </w:pPr>
      <w:r w:rsidRPr="00030875">
        <w:rPr>
          <w:rFonts w:hint="eastAsia"/>
          <w:lang w:eastAsia="zh-TW"/>
        </w:rPr>
        <w:t>榮譽高級數學、代數</w:t>
      </w:r>
      <w:r w:rsidRPr="00030875">
        <w:rPr>
          <w:rFonts w:hint="eastAsia"/>
          <w:lang w:eastAsia="zh-TW"/>
        </w:rPr>
        <w:t>I</w:t>
      </w:r>
      <w:r w:rsidRPr="00030875">
        <w:rPr>
          <w:rFonts w:hint="eastAsia"/>
          <w:lang w:eastAsia="zh-TW"/>
        </w:rPr>
        <w:t>或</w:t>
      </w:r>
      <w:r w:rsidRPr="00030875">
        <w:rPr>
          <w:rFonts w:hint="eastAsia"/>
          <w:lang w:eastAsia="zh-TW"/>
        </w:rPr>
        <w:t>II</w:t>
      </w:r>
      <w:r w:rsidRPr="00030875">
        <w:rPr>
          <w:rFonts w:hint="eastAsia"/>
          <w:lang w:eastAsia="zh-TW"/>
        </w:rPr>
        <w:t>和幾何等緊湊的加速課程要求非常嚴格</w:t>
      </w:r>
      <w:r w:rsidR="00221613" w:rsidRPr="00221613">
        <w:rPr>
          <w:rFonts w:hint="eastAsia"/>
          <w:lang w:eastAsia="zh-TW"/>
        </w:rPr>
        <w:t>，</w:t>
      </w:r>
      <w:r w:rsidR="00A12BAA">
        <w:rPr>
          <w:rFonts w:hint="eastAsia"/>
          <w:lang w:eastAsia="zh-TW"/>
        </w:rPr>
        <w:t>而</w:t>
      </w:r>
      <w:r w:rsidRPr="00030875">
        <w:rPr>
          <w:rFonts w:hint="eastAsia"/>
          <w:lang w:eastAsia="zh-TW"/>
        </w:rPr>
        <w:t>學生必須在整個學年內於此等課程中持續</w:t>
      </w:r>
      <w:r>
        <w:rPr>
          <w:rFonts w:hint="eastAsia"/>
          <w:lang w:eastAsia="zh-TW"/>
        </w:rPr>
        <w:t>表現</w:t>
      </w:r>
      <w:r w:rsidRPr="00030875">
        <w:rPr>
          <w:rFonts w:hint="eastAsia"/>
          <w:lang w:eastAsia="zh-TW"/>
        </w:rPr>
        <w:t>優秀</w:t>
      </w:r>
      <w:r>
        <w:rPr>
          <w:rFonts w:hint="eastAsia"/>
          <w:lang w:eastAsia="zh-TW"/>
        </w:rPr>
        <w:t>學業</w:t>
      </w:r>
      <w:r w:rsidRPr="00030875">
        <w:rPr>
          <w:rFonts w:hint="eastAsia"/>
          <w:lang w:eastAsia="zh-TW"/>
        </w:rPr>
        <w:t>成績，以作為繼續參與任何加速</w:t>
      </w:r>
      <w:r w:rsidR="00530502" w:rsidRPr="00530502">
        <w:rPr>
          <w:rFonts w:hint="eastAsia"/>
          <w:lang w:eastAsia="zh-TW"/>
        </w:rPr>
        <w:t>課程</w:t>
      </w:r>
      <w:r w:rsidRPr="00030875">
        <w:rPr>
          <w:rFonts w:hint="eastAsia"/>
          <w:lang w:eastAsia="zh-TW"/>
        </w:rPr>
        <w:t>的基本要求。</w:t>
      </w:r>
      <w:r w:rsidRPr="00030875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如</w:t>
      </w:r>
      <w:r w:rsidRPr="00030875">
        <w:rPr>
          <w:rFonts w:hint="eastAsia"/>
          <w:lang w:eastAsia="zh-TW"/>
        </w:rPr>
        <w:t>學生在秋季學期的榮譽高級數學</w:t>
      </w:r>
      <w:r w:rsidRPr="00030875">
        <w:rPr>
          <w:rFonts w:hint="eastAsia"/>
          <w:lang w:eastAsia="zh-TW"/>
        </w:rPr>
        <w:t>A</w:t>
      </w:r>
      <w:r w:rsidRPr="00030875">
        <w:rPr>
          <w:rFonts w:hint="eastAsia"/>
          <w:lang w:eastAsia="zh-TW"/>
        </w:rPr>
        <w:t>（</w:t>
      </w:r>
      <w:r w:rsidRPr="00030875">
        <w:rPr>
          <w:rFonts w:hint="eastAsia"/>
          <w:lang w:eastAsia="zh-TW"/>
        </w:rPr>
        <w:t>310507H</w:t>
      </w:r>
      <w:r w:rsidRPr="00030875">
        <w:rPr>
          <w:rFonts w:hint="eastAsia"/>
          <w:lang w:eastAsia="zh-TW"/>
        </w:rPr>
        <w:t>）獲得低於“</w:t>
      </w:r>
      <w:r w:rsidRPr="00030875">
        <w:rPr>
          <w:rFonts w:hint="eastAsia"/>
          <w:lang w:eastAsia="zh-TW"/>
        </w:rPr>
        <w:t>B</w:t>
      </w:r>
      <w:r w:rsidRPr="00030875">
        <w:rPr>
          <w:rFonts w:hint="eastAsia"/>
          <w:lang w:eastAsia="zh-TW"/>
        </w:rPr>
        <w:t>”的成績，教師應</w:t>
      </w:r>
      <w:r w:rsidR="00CF0BF2" w:rsidRPr="00CF0BF2">
        <w:rPr>
          <w:rFonts w:hint="eastAsia"/>
          <w:lang w:eastAsia="zh-TW"/>
        </w:rPr>
        <w:t>透過</w:t>
      </w:r>
      <w:r w:rsidRPr="00030875">
        <w:rPr>
          <w:rFonts w:hint="eastAsia"/>
          <w:lang w:eastAsia="zh-TW"/>
        </w:rPr>
        <w:t>多項方法評估個別學生的潛力能否於加速數學課程中取得成功。</w:t>
      </w:r>
      <w:r w:rsidRPr="00030875">
        <w:rPr>
          <w:rFonts w:hint="eastAsia"/>
          <w:lang w:eastAsia="zh-TW"/>
        </w:rPr>
        <w:t xml:space="preserve"> </w:t>
      </w:r>
      <w:r w:rsidRPr="00030875">
        <w:rPr>
          <w:rFonts w:hint="eastAsia"/>
          <w:lang w:eastAsia="zh-TW"/>
        </w:rPr>
        <w:t>根據老師的評估，並</w:t>
      </w:r>
      <w:r w:rsidRPr="00755DA3">
        <w:rPr>
          <w:rFonts w:hint="eastAsia"/>
          <w:lang w:eastAsia="zh-TW"/>
        </w:rPr>
        <w:t>會</w:t>
      </w:r>
      <w:r w:rsidRPr="00030875">
        <w:rPr>
          <w:rFonts w:hint="eastAsia"/>
          <w:lang w:eastAsia="zh-TW"/>
        </w:rPr>
        <w:t>與學術</w:t>
      </w:r>
      <w:r w:rsidRPr="006E269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輔導員</w:t>
      </w:r>
      <w:r w:rsidRPr="00030875">
        <w:rPr>
          <w:rFonts w:hint="eastAsia"/>
          <w:lang w:eastAsia="zh-TW"/>
        </w:rPr>
        <w:t>和家長詳談，學生的</w:t>
      </w:r>
      <w:r w:rsidRPr="00755DA3">
        <w:rPr>
          <w:rFonts w:hint="eastAsia"/>
          <w:lang w:eastAsia="zh-TW"/>
        </w:rPr>
        <w:t>課程</w:t>
      </w:r>
      <w:r w:rsidRPr="00030875">
        <w:rPr>
          <w:rFonts w:hint="eastAsia"/>
          <w:lang w:eastAsia="zh-TW"/>
        </w:rPr>
        <w:t>安</w:t>
      </w:r>
      <w:r w:rsidRPr="00755DA3">
        <w:rPr>
          <w:rFonts w:hint="eastAsia"/>
          <w:lang w:eastAsia="zh-TW"/>
        </w:rPr>
        <w:t>排</w:t>
      </w:r>
      <w:r w:rsidRPr="00030875">
        <w:rPr>
          <w:rFonts w:hint="eastAsia"/>
          <w:lang w:eastAsia="zh-TW"/>
        </w:rPr>
        <w:t>可能會在春季學期</w:t>
      </w:r>
      <w:r w:rsidRPr="00755DA3">
        <w:rPr>
          <w:rFonts w:hint="eastAsia"/>
          <w:lang w:eastAsia="zh-TW"/>
        </w:rPr>
        <w:t>有所</w:t>
      </w:r>
      <w:r w:rsidRPr="00030875">
        <w:rPr>
          <w:rFonts w:hint="eastAsia"/>
          <w:lang w:eastAsia="zh-TW"/>
        </w:rPr>
        <w:t>調整。</w:t>
      </w:r>
      <w:r w:rsidRPr="00FA5DD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成功完成</w:t>
      </w:r>
      <w:r w:rsidRPr="00C30BA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榮譽高級數學</w:t>
      </w:r>
      <w:r w:rsidRPr="002A173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並</w:t>
      </w:r>
      <w:r w:rsidRPr="00B83C1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獲</w:t>
      </w:r>
      <w:r w:rsidRPr="00FA5DDD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C</w:t>
      </w:r>
      <w:r w:rsidRPr="00B83C1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級</w:t>
      </w:r>
      <w:r w:rsidRPr="00FA5DD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</w:t>
      </w:r>
      <w:r w:rsidRPr="00B83C1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以上</w:t>
      </w:r>
      <w:r w:rsidRPr="00FA5DD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的學生可以在</w:t>
      </w:r>
      <w:r w:rsidRPr="00FA5DDD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12</w:t>
      </w:r>
      <w:r w:rsidRPr="00FA5DD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</w:t>
      </w:r>
      <w:r w:rsidR="00A27AFE" w:rsidRPr="00A27AF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</w:t>
      </w:r>
      <w:r w:rsidRPr="00B83C1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讀</w:t>
      </w:r>
      <w:r w:rsidRPr="00FA5DDD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AP</w:t>
      </w:r>
      <w:r w:rsidRPr="00FA5DD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微積分課程。</w:t>
      </w:r>
    </w:p>
    <w:p w:rsidR="000A5C25" w:rsidRPr="000A5C25" w:rsidRDefault="00925FB1" w:rsidP="000A5C25">
      <w:pPr>
        <w:rPr>
          <w:rFonts w:ascii="Times New Roman" w:eastAsia="Calibri" w:hAnsi="Times New Roman" w:cs="Times New Roman"/>
          <w:sz w:val="24"/>
          <w:szCs w:val="24"/>
        </w:rPr>
      </w:pP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請參閱「高中加速協議」附件。</w:t>
      </w:r>
      <w:r w:rsidRPr="00755DA3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 xml:space="preserve"> 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如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學生被安排入讀高中的任何加速</w:t>
      </w:r>
      <w:r w:rsidR="005919F5" w:rsidRPr="005919F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</w:t>
      </w:r>
      <w:r w:rsidR="005919F5" w:rsidRPr="005919F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學生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和家長</w:t>
      </w:r>
      <w:r w:rsidRPr="00755DA3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/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監護人將被要求簽署高中加速協議，以作為入讀加速課程的要求。</w:t>
      </w:r>
    </w:p>
    <w:p w:rsidR="000A5C25" w:rsidRPr="000A5C25" w:rsidRDefault="00461838" w:rsidP="000A5C2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zh-TW"/>
        </w:rPr>
      </w:pPr>
      <w:r w:rsidRPr="00461838">
        <w:rPr>
          <w:rFonts w:ascii="新細明體" w:eastAsia="新細明體" w:hAnsi="新細明體" w:cs="新細明體" w:hint="eastAsia"/>
          <w:b/>
          <w:sz w:val="24"/>
          <w:szCs w:val="24"/>
          <w:lang w:eastAsia="zh-TW"/>
        </w:rPr>
        <w:t>其他</w:t>
      </w:r>
      <w:r w:rsidR="004314D2" w:rsidRPr="004314D2">
        <w:rPr>
          <w:rFonts w:ascii="新細明體" w:eastAsia="新細明體" w:hAnsi="新細明體" w:cs="新細明體" w:hint="eastAsia"/>
          <w:b/>
          <w:sz w:val="24"/>
          <w:szCs w:val="24"/>
          <w:lang w:eastAsia="zh-TW"/>
        </w:rPr>
        <w:t>考慮</w:t>
      </w:r>
      <w:r w:rsidRPr="00461838">
        <w:rPr>
          <w:rFonts w:ascii="新細明體" w:eastAsia="新細明體" w:hAnsi="新細明體" w:cs="新細明體" w:hint="eastAsia"/>
          <w:b/>
          <w:sz w:val="24"/>
          <w:szCs w:val="24"/>
          <w:lang w:eastAsia="zh-TW"/>
        </w:rPr>
        <w:t>事項</w:t>
      </w:r>
    </w:p>
    <w:p w:rsidR="000A5C25" w:rsidRPr="000A5C25" w:rsidRDefault="008E65B0" w:rsidP="000A5C25">
      <w:pPr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每個年級的加速數學課程均有其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優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、缺點。 由於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高中會面對過渡情況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，9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年級學生</w:t>
      </w:r>
      <w:r w:rsidR="002C1049" w:rsidRPr="002C104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成績可能因而受到影響，但同時他們卻可以更靈活應用時間同時入讀兩個數學課程。</w:t>
      </w:r>
      <w:r w:rsidR="000A5C25" w:rsidRPr="000A5C25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</w:t>
      </w:r>
    </w:p>
    <w:p w:rsidR="000A5C25" w:rsidRPr="000A5C25" w:rsidRDefault="00D14C4A" w:rsidP="000A5C2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1</w:t>
      </w:r>
      <w:r>
        <w:rPr>
          <w:rFonts w:ascii="新細明體" w:eastAsia="新細明體" w:hAnsi="新細明體" w:cs="新細明體"/>
          <w:sz w:val="24"/>
          <w:szCs w:val="24"/>
          <w:lang w:eastAsia="zh-TW"/>
        </w:rPr>
        <w:t>0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年級的學生可能心理上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更願意同時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入讀兩個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課程，而學生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輔導員</w:t>
      </w:r>
      <w:r w:rsidRPr="0077192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亦可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從學生的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9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年級數學老師</w:t>
      </w:r>
      <w:r w:rsidRPr="0077192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那裡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獲得</w:t>
      </w:r>
      <w:r w:rsidRPr="0077192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有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關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學生準備</w:t>
      </w:r>
      <w:r w:rsidRPr="0077192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加速</w:t>
      </w:r>
      <w:r w:rsidRPr="0077192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的意見。 然而，由於其他a-g</w:t>
      </w:r>
      <w:r w:rsidRPr="0077192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</w:t>
      </w:r>
      <w:r w:rsidR="006457E9" w:rsidRPr="006457E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要求，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1</w:t>
      </w:r>
      <w:r>
        <w:rPr>
          <w:rFonts w:ascii="新細明體" w:eastAsia="新細明體" w:hAnsi="新細明體" w:cs="新細明體"/>
          <w:sz w:val="24"/>
          <w:szCs w:val="24"/>
          <w:lang w:eastAsia="zh-TW"/>
        </w:rPr>
        <w:t>0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年級學生可能</w:t>
      </w:r>
      <w:r w:rsidR="006457E9" w:rsidRPr="006457E9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因而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沒有</w:t>
      </w:r>
      <w:r w:rsidRPr="0077192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時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間</w:t>
      </w:r>
      <w:r w:rsidRPr="0077192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同時入讀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兩個數學課程</w:t>
      </w:r>
      <w:r w:rsidRPr="00755DA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。</w:t>
      </w:r>
    </w:p>
    <w:p w:rsidR="000A5C25" w:rsidRPr="000A5C25" w:rsidRDefault="00E011EC" w:rsidP="000A5C25">
      <w:pPr>
        <w:rPr>
          <w:rFonts w:ascii="Times New Roman" w:eastAsia="Calibri" w:hAnsi="Times New Roman" w:cs="Times New Roman"/>
          <w:sz w:val="24"/>
          <w:szCs w:val="24"/>
        </w:rPr>
      </w:pPr>
      <w:r w:rsidRPr="00E011E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如需更多資訊，請聯絡</w:t>
      </w:r>
      <w:r w:rsidRPr="00E011EC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...</w:t>
      </w:r>
      <w:r w:rsidRPr="00E011E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（姓名、</w:t>
      </w:r>
      <w:r w:rsidR="007741F1" w:rsidRPr="007741F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稱謂</w:t>
      </w:r>
      <w:r w:rsidRPr="00E011E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、電</w:t>
      </w: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郵</w:t>
      </w:r>
      <w:r w:rsidRPr="00E011E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、電話）。</w:t>
      </w:r>
    </w:p>
    <w:p w:rsidR="000A5C25" w:rsidRPr="000A5C25" w:rsidRDefault="000A5C25" w:rsidP="000A5C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5C25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0A5C25" w:rsidRPr="000A5C25" w:rsidRDefault="000A5C25" w:rsidP="000A5C25">
      <w:pPr>
        <w:tabs>
          <w:tab w:val="left" w:pos="3460"/>
        </w:tabs>
        <w:rPr>
          <w:rFonts w:ascii="Times New Roman" w:eastAsia="Calibri" w:hAnsi="Times New Roman" w:cs="Times New Roman"/>
          <w:b/>
          <w:sz w:val="16"/>
          <w:szCs w:val="16"/>
        </w:rPr>
      </w:pPr>
      <w:r w:rsidRPr="000A5C25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991C0" wp14:editId="59896949">
                <wp:simplePos x="0" y="0"/>
                <wp:positionH relativeFrom="column">
                  <wp:posOffset>4629150</wp:posOffset>
                </wp:positionH>
                <wp:positionV relativeFrom="paragraph">
                  <wp:posOffset>-45719</wp:posOffset>
                </wp:positionV>
                <wp:extent cx="1504950" cy="26035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836A55" w:rsidRDefault="00836A55" w:rsidP="000A5C25">
                            <w:r>
                              <w:t>ATTACHMENT D2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91C0" id="Text Box 7" o:spid="_x0000_s1028" type="#_x0000_t202" style="position:absolute;margin-left:364.5pt;margin-top:-3.6pt;width:118.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" fillcolor="window" strokecolor="window" strokeweight=".5pt">
                <v:textbox>
                  <w:txbxContent>
                    <w:p w:rsidR="00836A55" w:rsidRDefault="00836A55" w:rsidP="000A5C25">
                      <w:r>
                        <w:t>ATTACHMENT D2</w:t>
                      </w:r>
                    </w:p>
                  </w:txbxContent>
                </v:textbox>
              </v:shape>
            </w:pict>
          </mc:Fallback>
        </mc:AlternateContent>
      </w:r>
      <w:r w:rsidRPr="000A5C25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8838"/>
      </w:tblGrid>
      <w:tr w:rsidR="000A5C25" w:rsidRPr="000A5C25" w:rsidTr="00836A55">
        <w:trPr>
          <w:trHeight w:val="604"/>
        </w:trPr>
        <w:tc>
          <w:tcPr>
            <w:tcW w:w="8838" w:type="dxa"/>
            <w:shd w:val="clear" w:color="auto" w:fill="DDD9C3" w:themeFill="background2" w:themeFillShade="E6"/>
            <w:vAlign w:val="center"/>
          </w:tcPr>
          <w:p w:rsidR="000A5C25" w:rsidRPr="000A5C25" w:rsidRDefault="00513CF2" w:rsidP="00955265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  <w:lang w:eastAsia="zh-TW"/>
              </w:rPr>
            </w:pPr>
            <w:r w:rsidRPr="00513CF2">
              <w:rPr>
                <w:rFonts w:ascii="Times New Roman" w:hAnsi="Times New Roman" w:hint="eastAsia"/>
                <w:b/>
                <w:sz w:val="32"/>
                <w:szCs w:val="32"/>
                <w:lang w:eastAsia="zh-TW"/>
              </w:rPr>
              <w:t>HS</w:t>
            </w:r>
            <w:r w:rsidRPr="00513CF2">
              <w:rPr>
                <w:rFonts w:ascii="新細明體" w:eastAsia="新細明體" w:hAnsi="新細明體" w:cs="新細明體" w:hint="eastAsia"/>
                <w:b/>
                <w:sz w:val="32"/>
                <w:szCs w:val="32"/>
                <w:lang w:eastAsia="zh-TW"/>
              </w:rPr>
              <w:t>數學加速</w:t>
            </w:r>
            <w:r w:rsidR="00472D3C" w:rsidRPr="00472D3C">
              <w:rPr>
                <w:rFonts w:ascii="新細明體" w:eastAsia="新細明體" w:hAnsi="新細明體" w:cs="新細明體" w:hint="eastAsia"/>
                <w:b/>
                <w:sz w:val="32"/>
                <w:szCs w:val="32"/>
                <w:lang w:eastAsia="zh-TW"/>
              </w:rPr>
              <w:t>途徑</w:t>
            </w:r>
            <w:r w:rsidRPr="00513CF2">
              <w:rPr>
                <w:rFonts w:ascii="新細明體" w:eastAsia="新細明體" w:hAnsi="新細明體" w:cs="新細明體" w:hint="eastAsia"/>
                <w:b/>
                <w:sz w:val="32"/>
                <w:szCs w:val="32"/>
                <w:lang w:eastAsia="zh-TW"/>
              </w:rPr>
              <w:t>協議</w:t>
            </w:r>
          </w:p>
        </w:tc>
      </w:tr>
    </w:tbl>
    <w:p w:rsidR="000A5C25" w:rsidRPr="000A5C25" w:rsidRDefault="005170ED" w:rsidP="000A5C2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0ED">
        <w:rPr>
          <w:rFonts w:ascii="新細明體" w:eastAsia="新細明體" w:hAnsi="新細明體" w:cs="新細明體" w:hint="eastAsia"/>
          <w:b/>
          <w:sz w:val="24"/>
          <w:szCs w:val="24"/>
        </w:rPr>
        <w:t>高中</w:t>
      </w:r>
      <w:r w:rsidR="00F57BEE" w:rsidRPr="00F57BEE">
        <w:rPr>
          <w:rFonts w:ascii="新細明體" w:eastAsia="新細明體" w:hAnsi="新細明體" w:cs="新細明體" w:hint="eastAsia"/>
          <w:b/>
          <w:sz w:val="24"/>
          <w:szCs w:val="24"/>
        </w:rPr>
        <w:t>生的</w:t>
      </w:r>
      <w:r w:rsidRPr="005170ED">
        <w:rPr>
          <w:rFonts w:ascii="新細明體" w:eastAsia="新細明體" w:hAnsi="新細明體" w:cs="新細明體" w:hint="eastAsia"/>
          <w:b/>
          <w:sz w:val="24"/>
          <w:szCs w:val="24"/>
        </w:rPr>
        <w:t>加速</w:t>
      </w:r>
      <w:r w:rsidR="00911EC5" w:rsidRPr="00911EC5">
        <w:rPr>
          <w:rFonts w:ascii="新細明體" w:eastAsia="新細明體" w:hAnsi="新細明體" w:cs="新細明體" w:hint="eastAsia"/>
          <w:b/>
          <w:sz w:val="24"/>
          <w:szCs w:val="24"/>
        </w:rPr>
        <w:t>方法</w:t>
      </w:r>
      <w:bookmarkStart w:id="0" w:name="_GoBack"/>
      <w:bookmarkEnd w:id="0"/>
      <w:r w:rsidRPr="005170ED">
        <w:rPr>
          <w:rFonts w:ascii="新細明體" w:eastAsia="新細明體" w:hAnsi="新細明體" w:cs="新細明體" w:hint="eastAsia"/>
          <w:b/>
          <w:sz w:val="24"/>
          <w:szCs w:val="24"/>
        </w:rPr>
        <w:t>：</w:t>
      </w:r>
      <w:r w:rsidR="000A5C25" w:rsidRPr="000A5C2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5C25" w:rsidRPr="000A5C25" w:rsidRDefault="000A5C25" w:rsidP="000A5C2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A5C25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(1) </w:t>
      </w:r>
      <w:r w:rsidR="004C29CE" w:rsidRPr="0077192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於9年級同時入讀CC代數1和CC幾何; （2）於10</w:t>
      </w:r>
      <w:r w:rsidR="004C29C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年級同時</w:t>
      </w:r>
      <w:r w:rsidR="004C29CE" w:rsidRPr="0077192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入讀CC幾何和CC代數2; 和（3）於11年級入讀榮譽高等數學。</w:t>
      </w:r>
    </w:p>
    <w:p w:rsidR="000A5C25" w:rsidRPr="000A5C25" w:rsidRDefault="000A5C25" w:rsidP="000A5C2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0A5C25" w:rsidRPr="000A5C25" w:rsidRDefault="00CD095D" w:rsidP="008F4B3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D095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我已閱讀所附</w:t>
      </w:r>
      <w:r w:rsidR="008F4B37" w:rsidRPr="008F4B3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有關</w:t>
      </w:r>
      <w:r w:rsidRPr="00CD095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討論高中加速數學課程</w:t>
      </w:r>
      <w:r w:rsidR="008F4B37" w:rsidRPr="008F4B3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</w:t>
      </w:r>
      <w:r w:rsidR="008F4B3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信函</w:t>
      </w:r>
      <w:r w:rsidRPr="00CD095D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。</w:t>
      </w:r>
    </w:p>
    <w:p w:rsidR="000A5C25" w:rsidRPr="000A5C25" w:rsidRDefault="004F3090" w:rsidP="00527D9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4F309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我明白</w:t>
      </w:r>
      <w:r w:rsidR="00410230" w:rsidRPr="0041023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Pr="004F309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加速</w:t>
      </w:r>
      <w:r w:rsidR="00410230" w:rsidRPr="0041023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</w:t>
      </w:r>
      <w:r w:rsidRPr="004F309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的學生將以更高</w:t>
      </w:r>
      <w:r w:rsidR="00410230" w:rsidRPr="00527D9E">
        <w:rPr>
          <w:rFonts w:ascii="新細明體" w:eastAsia="新細明體" w:hAnsi="新細明體" w:cs="新細明體" w:hint="eastAsia"/>
          <w:i/>
          <w:sz w:val="24"/>
          <w:szCs w:val="24"/>
          <w:lang w:eastAsia="zh-TW"/>
        </w:rPr>
        <w:t>及</w:t>
      </w:r>
      <w:r w:rsidRPr="004F309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嚴</w:t>
      </w:r>
      <w:r w:rsidR="00410230" w:rsidRPr="0041023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格的</w:t>
      </w:r>
      <w:r w:rsidRPr="004F309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程度</w:t>
      </w:r>
      <w:r w:rsidR="00410230" w:rsidRPr="0041023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學習</w:t>
      </w:r>
      <w:r w:rsidR="0041023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數學</w:t>
      </w:r>
      <w:r w:rsidRPr="004F309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</w:t>
      </w:r>
      <w:r w:rsidR="00527D9E" w:rsidRPr="00527D9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教授</w:t>
      </w:r>
      <w:r w:rsidRPr="004F309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速度</w:t>
      </w:r>
      <w:r w:rsidR="00527D9E" w:rsidRPr="00527D9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將</w:t>
      </w:r>
      <w:r w:rsidRPr="004F309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比普通數學課程</w:t>
      </w:r>
      <w:r w:rsidR="00527D9E" w:rsidRPr="00527D9E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為</w:t>
      </w:r>
      <w:r w:rsidRPr="004F309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快。</w:t>
      </w:r>
      <w:r w:rsidR="000A5C25" w:rsidRPr="000A5C25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</w:t>
      </w:r>
    </w:p>
    <w:p w:rsidR="000A5C25" w:rsidRPr="000A5C25" w:rsidRDefault="00617DA7" w:rsidP="003E5B3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617DA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我</w:t>
      </w:r>
      <w:r w:rsidR="00177BF8" w:rsidRPr="00177BF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明白入讀</w:t>
      </w:r>
      <w:r w:rsidRPr="00617DA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加速</w:t>
      </w:r>
      <w:r w:rsidR="00177BF8" w:rsidRPr="00177BF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</w:t>
      </w:r>
      <w:r w:rsidRPr="00617DA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的學生</w:t>
      </w:r>
      <w:r w:rsidR="00177BF8" w:rsidRPr="00177BF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須</w:t>
      </w:r>
      <w:r w:rsidRPr="00617DA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保持</w:t>
      </w:r>
      <w:r w:rsidR="00177BF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617DA7">
        <w:rPr>
          <w:rFonts w:ascii="Calibri" w:eastAsia="Calibri" w:hAnsi="Calibri" w:cs="Calibri"/>
          <w:sz w:val="24"/>
          <w:szCs w:val="24"/>
          <w:lang w:eastAsia="zh-TW"/>
        </w:rPr>
        <w:t>“</w:t>
      </w:r>
      <w:r w:rsidRPr="00617DA7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B</w:t>
      </w:r>
      <w:r w:rsidRPr="00617DA7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”</w:t>
      </w:r>
      <w:r w:rsidRPr="00617DA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或更高的</w:t>
      </w:r>
      <w:r w:rsidR="003E5B31" w:rsidRPr="003E5B3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成績</w:t>
      </w:r>
      <w:r w:rsidRPr="00617DA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等級。</w:t>
      </w:r>
    </w:p>
    <w:p w:rsidR="000A5C25" w:rsidRPr="000A5C25" w:rsidRDefault="00784E17" w:rsidP="002E7F6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84E1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我知道</w:t>
      </w:r>
      <w:r w:rsidRPr="00784E17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LAUSD</w:t>
      </w:r>
      <w:r w:rsidRPr="00784E1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政策要求學生</w:t>
      </w:r>
      <w:r w:rsidR="002E7F67" w:rsidRPr="002E7F6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Pr="00784E17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9</w:t>
      </w:r>
      <w:r w:rsidRPr="00784E1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至</w:t>
      </w:r>
      <w:r w:rsidRPr="00784E17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11</w:t>
      </w:r>
      <w:r w:rsidRPr="00784E1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年級的數學課程。因此，參加加速途徑的學生必須</w:t>
      </w:r>
      <w:r w:rsidR="002E7F67" w:rsidRPr="002E7F6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Pr="00784E1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超出代數</w:t>
      </w:r>
      <w:r w:rsidRPr="00784E17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2</w:t>
      </w:r>
      <w:r w:rsidRPr="00784E1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的高級課程。</w:t>
      </w:r>
    </w:p>
    <w:p w:rsidR="000A5C25" w:rsidRPr="000A5C25" w:rsidRDefault="0000271C" w:rsidP="00F0719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如我的</w:t>
      </w:r>
      <w:r w:rsidR="00B91952" w:rsidRPr="00B9195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子</w:t>
      </w:r>
      <w:r w:rsidRPr="0000271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女</w:t>
      </w:r>
      <w:r w:rsidR="00920BC8" w:rsidRPr="00B9195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在秋季學期</w:t>
      </w:r>
      <w:r w:rsidR="00920BC8" w:rsidRPr="00920BC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的</w:t>
      </w:r>
      <w:r w:rsidR="00B91952" w:rsidRPr="00B9195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課程中無法</w:t>
      </w:r>
      <w:r w:rsidR="00920BC8" w:rsidRPr="00920BC8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在</w:t>
      </w:r>
      <w:r w:rsidR="00B91952" w:rsidRPr="00B91952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10</w:t>
      </w:r>
      <w:r w:rsidR="00920BC8" w:rsidRPr="00B9195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週</w:t>
      </w:r>
      <w:r w:rsidR="00B91952" w:rsidRPr="00B9195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和</w:t>
      </w:r>
      <w:r w:rsidR="00B91952" w:rsidRPr="00B91952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/</w:t>
      </w:r>
      <w:r w:rsidR="00B91952" w:rsidRPr="00B9195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</w:t>
      </w:r>
      <w:r w:rsidR="00B91952" w:rsidRPr="00B91952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15</w:t>
      </w:r>
      <w:r w:rsidR="00B91952" w:rsidRPr="00B9195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週的進度報告中保持</w:t>
      </w:r>
      <w:r w:rsidR="00B91952" w:rsidRPr="00B91952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B</w:t>
      </w:r>
      <w:r w:rsidR="00B91952" w:rsidRPr="00B9195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或更高的</w:t>
      </w:r>
      <w:r w:rsidRPr="0000271C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等級</w:t>
      </w:r>
      <w:r w:rsidR="00B91952" w:rsidRPr="00B9195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，</w:t>
      </w:r>
      <w:r w:rsidR="00F07197" w:rsidRPr="00F0719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則</w:t>
      </w:r>
      <w:r w:rsidR="00F0719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將會舉行家長</w:t>
      </w:r>
      <w:r w:rsidR="00B91952" w:rsidRPr="00B9195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教師會議</w:t>
      </w:r>
      <w:r w:rsidR="00F07197" w:rsidRPr="00F0719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以開展</w:t>
      </w:r>
      <w:r w:rsidR="00F0719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一個</w:t>
      </w:r>
      <w:r w:rsidR="00F07197" w:rsidRPr="00F0719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共同參與</w:t>
      </w:r>
      <w:r w:rsidR="00F07197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和支持的</w:t>
      </w:r>
      <w:r w:rsidR="00B91952" w:rsidRPr="00B91952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行動計劃。</w:t>
      </w:r>
    </w:p>
    <w:p w:rsidR="000A5C25" w:rsidRPr="000A5C25" w:rsidRDefault="000B1ACA" w:rsidP="00F77EB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0B1AC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如在秋季學期結束時，我的子女無法在加速數學課程中</w:t>
      </w:r>
      <w:r w:rsidR="00F77EB1" w:rsidRPr="00F77EB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將</w:t>
      </w:r>
      <w:r w:rsidRPr="000B1AC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等級提升至</w:t>
      </w:r>
      <w:r w:rsidR="00F77EB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 xml:space="preserve"> </w:t>
      </w:r>
      <w:r w:rsidRPr="000B1ACA">
        <w:rPr>
          <w:rFonts w:ascii="Calibri" w:eastAsia="Calibri" w:hAnsi="Calibri" w:cs="Calibri"/>
          <w:sz w:val="24"/>
          <w:szCs w:val="24"/>
          <w:lang w:eastAsia="zh-TW"/>
        </w:rPr>
        <w:t>“</w:t>
      </w:r>
      <w:r w:rsidRPr="000B1ACA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B</w:t>
      </w:r>
      <w:r w:rsidRPr="000B1ACA">
        <w:rPr>
          <w:rFonts w:ascii="Times New Roman" w:eastAsia="Calibri" w:hAnsi="Times New Roman" w:cs="Times New Roman" w:hint="eastAsia"/>
          <w:sz w:val="24"/>
          <w:szCs w:val="24"/>
          <w:lang w:eastAsia="zh-TW"/>
        </w:rPr>
        <w:t>”</w:t>
      </w:r>
      <w:r w:rsidRPr="000B1AC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或以上，</w:t>
      </w:r>
      <w:r w:rsidR="00F77EB1" w:rsidRPr="00F77EB1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學生</w:t>
      </w:r>
      <w:r w:rsidRPr="000B1AC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可能會於春季學期被安排入讀不同的途徑課程中。</w:t>
      </w:r>
      <w:r w:rsidR="000A5C25" w:rsidRPr="000A5C25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</w:t>
      </w:r>
    </w:p>
    <w:p w:rsidR="000A5C25" w:rsidRPr="000A5C25" w:rsidRDefault="00836A55" w:rsidP="00CB38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zh-TW"/>
        </w:rPr>
      </w:pPr>
      <w:r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我明白</w:t>
      </w:r>
      <w:r w:rsidR="002D4E8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作為家長或法定監護人，如果我</w:t>
      </w:r>
      <w:r w:rsidR="00033CA0" w:rsidRPr="00033CA0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要求</w:t>
      </w:r>
      <w:r w:rsidR="002D4E8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為</w:t>
      </w:r>
      <w:r w:rsidRPr="00836A55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子女</w:t>
      </w:r>
      <w:r w:rsidR="00CB38EA" w:rsidRPr="00CB38EA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安排</w:t>
      </w:r>
      <w:r w:rsidR="002D4E83" w:rsidRPr="002D4E8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入讀</w:t>
      </w:r>
      <w:r w:rsidR="00D40FBF" w:rsidRPr="00D40FB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一</w:t>
      </w:r>
      <w:r w:rsidR="002D4E83" w:rsidRPr="002D4E8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個</w:t>
      </w:r>
      <w:r w:rsidR="00D40FBF" w:rsidRPr="00D40FB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不同的數學課程，我將被邀請與輔導員討論</w:t>
      </w:r>
      <w:r w:rsidR="002D4E83" w:rsidRPr="002D4E8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有關</w:t>
      </w:r>
      <w:r w:rsidR="00D40FBF" w:rsidRPr="00D40FB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代</w:t>
      </w:r>
      <w:r w:rsidR="002D4E83" w:rsidRPr="00D40FB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替</w:t>
      </w:r>
      <w:r w:rsidR="00D40FBF" w:rsidRPr="00D40FB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數學課程的</w:t>
      </w:r>
      <w:r w:rsidR="002D4E83" w:rsidRPr="002D4E83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不同</w:t>
      </w:r>
      <w:r w:rsidR="00D40FBF" w:rsidRPr="00D40FBF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選項。</w:t>
      </w:r>
    </w:p>
    <w:p w:rsidR="000A5C25" w:rsidRPr="000A5C25" w:rsidRDefault="000A5C25" w:rsidP="000A5C2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6"/>
          <w:szCs w:val="16"/>
          <w:lang w:eastAsia="zh-TW"/>
        </w:rPr>
      </w:pPr>
    </w:p>
    <w:p w:rsidR="000A5C25" w:rsidRPr="000A5C25" w:rsidRDefault="00414FD0" w:rsidP="000A5C2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4FD0">
        <w:rPr>
          <w:rFonts w:ascii="新細明體" w:eastAsia="新細明體" w:hAnsi="新細明體" w:cs="新細明體" w:hint="eastAsia"/>
          <w:sz w:val="24"/>
          <w:szCs w:val="24"/>
        </w:rPr>
        <w:t>通過簽署此表格，我</w:t>
      </w:r>
      <w:r w:rsidR="0079772E" w:rsidRPr="0079772E">
        <w:rPr>
          <w:rFonts w:ascii="新細明體" w:eastAsia="新細明體" w:hAnsi="新細明體" w:cs="新細明體" w:hint="eastAsia"/>
          <w:sz w:val="24"/>
          <w:szCs w:val="24"/>
        </w:rPr>
        <w:t>承認</w:t>
      </w:r>
      <w:r w:rsidRPr="00414FD0">
        <w:rPr>
          <w:rFonts w:ascii="新細明體" w:eastAsia="新細明體" w:hAnsi="新細明體" w:cs="新細明體" w:hint="eastAsia"/>
          <w:sz w:val="24"/>
          <w:szCs w:val="24"/>
        </w:rPr>
        <w:t>以下</w:t>
      </w:r>
      <w:r w:rsidR="00A02A44" w:rsidRPr="00A02A44">
        <w:rPr>
          <w:rFonts w:ascii="新細明體" w:eastAsia="新細明體" w:hAnsi="新細明體" w:cs="新細明體" w:hint="eastAsia"/>
          <w:sz w:val="24"/>
          <w:szCs w:val="24"/>
        </w:rPr>
        <w:t>所述</w:t>
      </w:r>
      <w:r w:rsidRPr="00414FD0">
        <w:rPr>
          <w:rFonts w:ascii="新細明體" w:eastAsia="新細明體" w:hAnsi="新細明體" w:cs="新細明體" w:hint="eastAsia"/>
          <w:sz w:val="24"/>
          <w:szCs w:val="24"/>
        </w:rPr>
        <w:t>：</w:t>
      </w:r>
    </w:p>
    <w:p w:rsidR="000A5C25" w:rsidRPr="000A5C25" w:rsidRDefault="000A5C25" w:rsidP="000A5C25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18"/>
          <w:szCs w:val="18"/>
        </w:rPr>
      </w:pPr>
    </w:p>
    <w:p w:rsidR="000A5C25" w:rsidRPr="000A5C25" w:rsidRDefault="00EC00E3" w:rsidP="000A5C25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C00E3">
        <w:rPr>
          <w:rFonts w:ascii="新細明體" w:eastAsia="新細明體" w:hAnsi="新細明體" w:cs="新細明體" w:hint="eastAsia"/>
          <w:b/>
          <w:i/>
          <w:sz w:val="24"/>
          <w:szCs w:val="24"/>
          <w:lang w:eastAsia="zh-TW"/>
        </w:rPr>
        <w:t>我已閱讀此加速協議並了解</w:t>
      </w:r>
      <w:r w:rsidR="00FB2113" w:rsidRPr="00FB2113">
        <w:rPr>
          <w:rFonts w:ascii="新細明體" w:eastAsia="新細明體" w:hAnsi="新細明體" w:cs="新細明體" w:hint="eastAsia"/>
          <w:b/>
          <w:i/>
          <w:sz w:val="24"/>
          <w:szCs w:val="24"/>
          <w:lang w:eastAsia="zh-TW"/>
        </w:rPr>
        <w:t>依</w:t>
      </w:r>
      <w:r w:rsidR="00FB2113" w:rsidRPr="00EC00E3">
        <w:rPr>
          <w:rFonts w:ascii="新細明體" w:eastAsia="新細明體" w:hAnsi="新細明體" w:cs="新細明體" w:hint="eastAsia"/>
          <w:b/>
          <w:i/>
          <w:sz w:val="24"/>
          <w:szCs w:val="24"/>
          <w:lang w:eastAsia="zh-TW"/>
        </w:rPr>
        <w:t>上述</w:t>
      </w:r>
      <w:r w:rsidR="00FB2113" w:rsidRPr="00FB2113">
        <w:rPr>
          <w:rFonts w:ascii="新細明體" w:eastAsia="新細明體" w:hAnsi="新細明體" w:cs="新細明體" w:hint="eastAsia"/>
          <w:b/>
          <w:i/>
          <w:sz w:val="24"/>
          <w:szCs w:val="24"/>
          <w:lang w:eastAsia="zh-TW"/>
        </w:rPr>
        <w:t>標準</w:t>
      </w:r>
      <w:r w:rsidR="00FB2113" w:rsidRPr="00FB2113">
        <w:rPr>
          <w:rFonts w:ascii="新細明體" w:eastAsia="新細明體" w:hAnsi="新細明體" w:cs="新細明體" w:hint="eastAsia"/>
          <w:b/>
          <w:i/>
          <w:sz w:val="24"/>
          <w:szCs w:val="24"/>
          <w:lang w:eastAsia="zh-TW"/>
        </w:rPr>
        <w:t>提供給我的</w:t>
      </w:r>
      <w:r w:rsidR="00FB2113" w:rsidRPr="00EC00E3">
        <w:rPr>
          <w:rFonts w:ascii="新細明體" w:eastAsia="新細明體" w:hAnsi="新細明體" w:cs="新細明體" w:hint="eastAsia"/>
          <w:b/>
          <w:i/>
          <w:sz w:val="24"/>
          <w:szCs w:val="24"/>
          <w:lang w:eastAsia="zh-TW"/>
        </w:rPr>
        <w:t>學生</w:t>
      </w:r>
      <w:r w:rsidRPr="00EC00E3">
        <w:rPr>
          <w:rFonts w:ascii="新細明體" w:eastAsia="新細明體" w:hAnsi="新細明體" w:cs="新細明體" w:hint="eastAsia"/>
          <w:b/>
          <w:i/>
          <w:sz w:val="24"/>
          <w:szCs w:val="24"/>
          <w:lang w:eastAsia="zh-TW"/>
        </w:rPr>
        <w:t>加速高中數學課程。</w:t>
      </w:r>
    </w:p>
    <w:tbl>
      <w:tblPr>
        <w:tblStyle w:val="TableGrid"/>
        <w:tblW w:w="883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77"/>
        <w:gridCol w:w="880"/>
        <w:gridCol w:w="351"/>
        <w:gridCol w:w="1855"/>
        <w:gridCol w:w="90"/>
        <w:gridCol w:w="1710"/>
        <w:gridCol w:w="792"/>
        <w:gridCol w:w="198"/>
        <w:gridCol w:w="1080"/>
      </w:tblGrid>
      <w:tr w:rsidR="000A5C25" w:rsidRPr="000A5C25" w:rsidTr="00325763">
        <w:trPr>
          <w:trHeight w:val="462"/>
        </w:trPr>
        <w:tc>
          <w:tcPr>
            <w:tcW w:w="1882" w:type="dxa"/>
            <w:gridSpan w:val="2"/>
            <w:vAlign w:val="bottom"/>
          </w:tcPr>
          <w:p w:rsidR="000A5C25" w:rsidRPr="000A5C25" w:rsidRDefault="00047545" w:rsidP="000A5C25">
            <w:pPr>
              <w:rPr>
                <w:rFonts w:ascii="Times New Roman" w:eastAsia="Times New Roman" w:hAnsi="Times New Roman"/>
              </w:rPr>
            </w:pPr>
            <w:r>
              <w:rPr>
                <w:rFonts w:ascii="新細明體" w:eastAsia="新細明體" w:hAnsi="新細明體" w:cs="新細明體" w:hint="eastAsia"/>
              </w:rPr>
              <w:t>學生</w:t>
            </w:r>
            <w:r w:rsidR="00FB2113" w:rsidRPr="00FB2113">
              <w:rPr>
                <w:rFonts w:ascii="新細明體" w:eastAsia="新細明體" w:hAnsi="新細明體" w:cs="新細明體" w:hint="eastAsia"/>
              </w:rPr>
              <w:t>姓</w:t>
            </w:r>
            <w:r w:rsidR="00FB2113">
              <w:rPr>
                <w:rFonts w:ascii="新細明體" w:eastAsia="新細明體" w:hAnsi="新細明體" w:cs="新細明體" w:hint="eastAsia"/>
              </w:rPr>
              <w:t>名</w:t>
            </w:r>
            <w:r w:rsidR="00FB2113" w:rsidRPr="00FB2113">
              <w:rPr>
                <w:rFonts w:ascii="新細明體" w:eastAsia="新細明體" w:hAnsi="新細明體" w:cs="新細明體" w:hint="eastAsia"/>
              </w:rPr>
              <w:t>：</w:t>
            </w:r>
          </w:p>
        </w:tc>
        <w:tc>
          <w:tcPr>
            <w:tcW w:w="3176" w:type="dxa"/>
            <w:gridSpan w:val="4"/>
            <w:vAlign w:val="bottom"/>
          </w:tcPr>
          <w:p w:rsidR="000A5C25" w:rsidRPr="000A5C25" w:rsidRDefault="000A5C25" w:rsidP="000A5C25">
            <w:pPr>
              <w:rPr>
                <w:rFonts w:ascii="Times New Roman" w:eastAsia="Times New Roman" w:hAnsi="Times New Roman"/>
              </w:rPr>
            </w:pPr>
            <w:r w:rsidRPr="000A5C25">
              <w:rPr>
                <w:rFonts w:ascii="Times New Roman" w:eastAsia="Times New Roman" w:hAnsi="Times New Roman"/>
              </w:rPr>
              <w:t>________________________</w:t>
            </w:r>
          </w:p>
        </w:tc>
        <w:tc>
          <w:tcPr>
            <w:tcW w:w="1710" w:type="dxa"/>
            <w:vAlign w:val="bottom"/>
          </w:tcPr>
          <w:p w:rsidR="000A5C25" w:rsidRPr="000A5C25" w:rsidRDefault="008A7D5F" w:rsidP="000A5C25">
            <w:pPr>
              <w:rPr>
                <w:rFonts w:ascii="Times New Roman" w:eastAsia="Times New Roman" w:hAnsi="Times New Roman"/>
              </w:rPr>
            </w:pPr>
            <w:r w:rsidRPr="008A7D5F">
              <w:rPr>
                <w:rFonts w:ascii="新細明體" w:eastAsia="新細明體" w:hAnsi="新細明體" w:cs="新細明體" w:hint="eastAsia"/>
              </w:rPr>
              <w:t>日期：</w:t>
            </w:r>
            <w:r w:rsidR="000A5C25" w:rsidRPr="000A5C25">
              <w:rPr>
                <w:rFonts w:ascii="Times New Roman" w:eastAsia="Times New Roman" w:hAnsi="Times New Roman"/>
              </w:rPr>
              <w:t>________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bottom"/>
          </w:tcPr>
          <w:p w:rsidR="000A5C25" w:rsidRPr="000A5C25" w:rsidRDefault="008A7D5F" w:rsidP="008A7D5F">
            <w:pPr>
              <w:jc w:val="right"/>
              <w:rPr>
                <w:rFonts w:ascii="Times New Roman" w:eastAsia="Times New Roman" w:hAnsi="Times New Roman"/>
              </w:rPr>
            </w:pPr>
            <w:r w:rsidRPr="008A7D5F">
              <w:rPr>
                <w:rFonts w:ascii="新細明體" w:eastAsia="新細明體" w:hAnsi="新細明體" w:cs="新細明體" w:hint="eastAsia"/>
              </w:rPr>
              <w:t>級別：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0A5C25" w:rsidRPr="000A5C25" w:rsidRDefault="000A5C25" w:rsidP="000A5C25">
            <w:pPr>
              <w:rPr>
                <w:rFonts w:ascii="Times New Roman" w:eastAsia="Times New Roman" w:hAnsi="Times New Roman"/>
              </w:rPr>
            </w:pPr>
          </w:p>
        </w:tc>
      </w:tr>
      <w:tr w:rsidR="000A5C25" w:rsidRPr="000A5C25" w:rsidTr="00325763">
        <w:trPr>
          <w:trHeight w:val="462"/>
        </w:trPr>
        <w:tc>
          <w:tcPr>
            <w:tcW w:w="2762" w:type="dxa"/>
            <w:gridSpan w:val="3"/>
            <w:vAlign w:val="bottom"/>
          </w:tcPr>
          <w:p w:rsidR="000A5C25" w:rsidRPr="000A5C25" w:rsidRDefault="00B16775" w:rsidP="000A5C25">
            <w:pPr>
              <w:rPr>
                <w:rFonts w:ascii="Times New Roman" w:eastAsia="Times New Roman" w:hAnsi="Times New Roman"/>
              </w:rPr>
            </w:pPr>
            <w:r w:rsidRPr="00B16775">
              <w:rPr>
                <w:rFonts w:ascii="新細明體" w:eastAsia="新細明體" w:hAnsi="新細明體" w:cs="新細明體" w:hint="eastAsia"/>
              </w:rPr>
              <w:t>家長</w:t>
            </w:r>
            <w:r w:rsidRPr="00B16775">
              <w:rPr>
                <w:rFonts w:ascii="Times New Roman" w:eastAsia="Times New Roman" w:hAnsi="Times New Roman" w:hint="eastAsia"/>
              </w:rPr>
              <w:t>/</w:t>
            </w:r>
            <w:r w:rsidRPr="00B16775">
              <w:rPr>
                <w:rFonts w:ascii="新細明體" w:eastAsia="新細明體" w:hAnsi="新細明體" w:cs="新細明體" w:hint="eastAsia"/>
              </w:rPr>
              <w:t>監護人姓名：</w:t>
            </w:r>
          </w:p>
        </w:tc>
        <w:tc>
          <w:tcPr>
            <w:tcW w:w="6076" w:type="dxa"/>
            <w:gridSpan w:val="7"/>
            <w:tcBorders>
              <w:bottom w:val="single" w:sz="4" w:space="0" w:color="auto"/>
            </w:tcBorders>
            <w:vAlign w:val="bottom"/>
          </w:tcPr>
          <w:p w:rsidR="000A5C25" w:rsidRPr="000A5C25" w:rsidRDefault="000A5C25" w:rsidP="000A5C25">
            <w:pPr>
              <w:rPr>
                <w:rFonts w:ascii="Times New Roman" w:eastAsia="Times New Roman" w:hAnsi="Times New Roman"/>
              </w:rPr>
            </w:pPr>
          </w:p>
        </w:tc>
      </w:tr>
      <w:tr w:rsidR="000A5C25" w:rsidRPr="000A5C25" w:rsidTr="00325763">
        <w:trPr>
          <w:trHeight w:val="462"/>
        </w:trPr>
        <w:tc>
          <w:tcPr>
            <w:tcW w:w="3113" w:type="dxa"/>
            <w:gridSpan w:val="4"/>
            <w:vAlign w:val="bottom"/>
          </w:tcPr>
          <w:p w:rsidR="000A5C25" w:rsidRPr="000A5C25" w:rsidRDefault="00835EBC" w:rsidP="00835EBC">
            <w:pPr>
              <w:rPr>
                <w:rFonts w:ascii="Times New Roman" w:eastAsia="Times New Roman" w:hAnsi="Times New Roman"/>
              </w:rPr>
            </w:pPr>
            <w:r w:rsidRPr="00835EBC">
              <w:rPr>
                <w:rFonts w:ascii="新細明體" w:eastAsia="新細明體" w:hAnsi="新細明體" w:cs="新細明體" w:hint="eastAsia"/>
              </w:rPr>
              <w:t>家長</w:t>
            </w:r>
            <w:r w:rsidRPr="00835EBC">
              <w:rPr>
                <w:rFonts w:ascii="Times New Roman" w:eastAsia="Times New Roman" w:hAnsi="Times New Roman" w:hint="eastAsia"/>
              </w:rPr>
              <w:t>/</w:t>
            </w:r>
            <w:r>
              <w:rPr>
                <w:rFonts w:ascii="新細明體" w:eastAsia="新細明體" w:hAnsi="新細明體" w:cs="新細明體" w:hint="eastAsia"/>
              </w:rPr>
              <w:t>監護人</w:t>
            </w:r>
            <w:r w:rsidRPr="00835EBC">
              <w:rPr>
                <w:rFonts w:ascii="新細明體" w:eastAsia="新細明體" w:hAnsi="新細明體" w:cs="新細明體" w:hint="eastAsia"/>
              </w:rPr>
              <w:t>簽署：</w:t>
            </w:r>
          </w:p>
        </w:tc>
        <w:tc>
          <w:tcPr>
            <w:tcW w:w="57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5C25" w:rsidRPr="000A5C25" w:rsidRDefault="000A5C25" w:rsidP="000A5C25">
            <w:pPr>
              <w:rPr>
                <w:rFonts w:ascii="Times New Roman" w:eastAsia="Times New Roman" w:hAnsi="Times New Roman"/>
              </w:rPr>
            </w:pPr>
          </w:p>
        </w:tc>
      </w:tr>
      <w:tr w:rsidR="000A5C25" w:rsidRPr="000A5C25" w:rsidTr="00325763">
        <w:trPr>
          <w:trHeight w:val="462"/>
        </w:trPr>
        <w:tc>
          <w:tcPr>
            <w:tcW w:w="1705" w:type="dxa"/>
            <w:vAlign w:val="bottom"/>
          </w:tcPr>
          <w:p w:rsidR="000A5C25" w:rsidRPr="000A5C25" w:rsidRDefault="00325763" w:rsidP="000A5C25">
            <w:pPr>
              <w:rPr>
                <w:rFonts w:ascii="Times New Roman" w:eastAsia="Times New Roman" w:hAnsi="Times New Roman"/>
              </w:rPr>
            </w:pPr>
            <w:r w:rsidRPr="00325763">
              <w:rPr>
                <w:rFonts w:ascii="新細明體" w:eastAsia="新細明體" w:hAnsi="新細明體" w:cs="新細明體" w:hint="eastAsia"/>
              </w:rPr>
              <w:t>電郵地址：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bottom"/>
          </w:tcPr>
          <w:p w:rsidR="000A5C25" w:rsidRPr="000A5C25" w:rsidRDefault="000A5C25" w:rsidP="000A5C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</w:tcBorders>
            <w:vAlign w:val="bottom"/>
          </w:tcPr>
          <w:p w:rsidR="000A5C25" w:rsidRPr="000A5C25" w:rsidRDefault="00325763" w:rsidP="000A5C25">
            <w:pPr>
              <w:rPr>
                <w:rFonts w:ascii="Times New Roman" w:eastAsia="Times New Roman" w:hAnsi="Times New Roman"/>
              </w:rPr>
            </w:pPr>
            <w:r w:rsidRPr="00325763">
              <w:rPr>
                <w:rFonts w:ascii="新細明體" w:eastAsia="新細明體" w:hAnsi="新細明體" w:cs="新細明體" w:hint="eastAsia"/>
              </w:rPr>
              <w:t>電話號碼：</w:t>
            </w:r>
            <w:r w:rsidR="000A5C25" w:rsidRPr="000A5C25">
              <w:rPr>
                <w:rFonts w:ascii="Times New Roman" w:eastAsia="Times New Roman" w:hAnsi="Times New Roman"/>
              </w:rPr>
              <w:t>_______</w:t>
            </w:r>
          </w:p>
        </w:tc>
        <w:tc>
          <w:tcPr>
            <w:tcW w:w="1278" w:type="dxa"/>
            <w:gridSpan w:val="2"/>
            <w:vAlign w:val="bottom"/>
          </w:tcPr>
          <w:p w:rsidR="000A5C25" w:rsidRPr="000A5C25" w:rsidRDefault="000A5C25" w:rsidP="000A5C25">
            <w:pPr>
              <w:rPr>
                <w:rFonts w:ascii="Times New Roman" w:eastAsia="Times New Roman" w:hAnsi="Times New Roman"/>
              </w:rPr>
            </w:pPr>
          </w:p>
        </w:tc>
      </w:tr>
    </w:tbl>
    <w:p w:rsidR="000A5C25" w:rsidRPr="000A5C25" w:rsidRDefault="000A5C25" w:rsidP="000A5C2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C1420" w:rsidRDefault="00FC1420"/>
    <w:sectPr w:rsidR="00FC1420" w:rsidSect="00836A55">
      <w:headerReference w:type="default" r:id="rId7"/>
      <w:footerReference w:type="default" r:id="rId8"/>
      <w:pgSz w:w="12240" w:h="15840"/>
      <w:pgMar w:top="900" w:right="1440" w:bottom="1080" w:left="1440" w:header="54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15F" w:rsidRDefault="0062315F">
      <w:pPr>
        <w:spacing w:after="0" w:line="240" w:lineRule="auto"/>
      </w:pPr>
      <w:r>
        <w:separator/>
      </w:r>
    </w:p>
  </w:endnote>
  <w:endnote w:type="continuationSeparator" w:id="0">
    <w:p w:rsidR="0062315F" w:rsidRDefault="0062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A55" w:rsidRPr="00A631DD" w:rsidRDefault="00836A55" w:rsidP="00836A55">
    <w:pPr>
      <w:pStyle w:val="Footer"/>
      <w:tabs>
        <w:tab w:val="clear" w:pos="9360"/>
        <w:tab w:val="right" w:pos="12420"/>
      </w:tabs>
      <w:ind w:right="-360"/>
      <w:rPr>
        <w:lang w:val="en-US"/>
      </w:rPr>
    </w:pPr>
    <w:r>
      <w:t>MEM-</w:t>
    </w:r>
    <w:r>
      <w:rPr>
        <w:lang w:val="en-US"/>
      </w:rPr>
      <w:t>6801.1</w:t>
    </w:r>
    <w:r>
      <w:t xml:space="preserve">                                           </w:t>
    </w:r>
    <w:r>
      <w:rPr>
        <w:lang w:val="en-US"/>
      </w:rPr>
      <w:t xml:space="preserve">      </w: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             </w:t>
    </w:r>
    <w:r>
      <w:rPr>
        <w:lang w:val="en-US"/>
      </w:rPr>
      <w:t xml:space="preserve">          </w:t>
    </w:r>
    <w:r>
      <w:t xml:space="preserve">         </w:t>
    </w:r>
    <w:r>
      <w:rPr>
        <w:lang w:val="en-US"/>
      </w:rPr>
      <w:t xml:space="preserve"> January 22,</w:t>
    </w:r>
    <w:r>
      <w:t xml:space="preserve"> 201</w:t>
    </w:r>
    <w:r>
      <w:rPr>
        <w:lang w:val="en-US"/>
      </w:rPr>
      <w:t>8</w:t>
    </w:r>
  </w:p>
  <w:p w:rsidR="00836A55" w:rsidRDefault="00836A55" w:rsidP="00836A55">
    <w:pPr>
      <w:pStyle w:val="Footer"/>
      <w:tabs>
        <w:tab w:val="clear" w:pos="9360"/>
        <w:tab w:val="right" w:pos="10440"/>
      </w:tabs>
    </w:pPr>
    <w:r>
      <w:t xml:space="preserve">Division of Instruction </w:t>
    </w:r>
  </w:p>
  <w:p w:rsidR="00836A55" w:rsidRPr="005A3B63" w:rsidRDefault="00836A55" w:rsidP="00836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15F" w:rsidRDefault="0062315F">
      <w:pPr>
        <w:spacing w:after="0" w:line="240" w:lineRule="auto"/>
      </w:pPr>
      <w:r>
        <w:separator/>
      </w:r>
    </w:p>
  </w:footnote>
  <w:footnote w:type="continuationSeparator" w:id="0">
    <w:p w:rsidR="0062315F" w:rsidRDefault="0062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Ind w:w="-522" w:type="dxa"/>
      <w:tblLook w:val="0000" w:firstRow="0" w:lastRow="0" w:firstColumn="0" w:lastColumn="0" w:noHBand="0" w:noVBand="0"/>
    </w:tblPr>
    <w:tblGrid>
      <w:gridCol w:w="1768"/>
      <w:gridCol w:w="8672"/>
    </w:tblGrid>
    <w:tr w:rsidR="00836A55" w:rsidTr="00836A55">
      <w:trPr>
        <w:trHeight w:val="720"/>
      </w:trPr>
      <w:tc>
        <w:tcPr>
          <w:tcW w:w="1768" w:type="dxa"/>
        </w:tcPr>
        <w:p w:rsidR="00836A55" w:rsidRDefault="00836A55" w:rsidP="00836A55">
          <w:pPr>
            <w:pStyle w:val="Header"/>
            <w:rPr>
              <w:rFonts w:ascii="Engravers MT" w:hAnsi="Engravers MT"/>
              <w:smallCaps/>
              <w:sz w:val="28"/>
            </w:rPr>
          </w:pPr>
          <w:r w:rsidRPr="00690D27">
            <w:rPr>
              <w:rFonts w:ascii="Engravers MT" w:hAnsi="Engravers MT"/>
              <w:smallCaps/>
              <w:noProof/>
              <w:sz w:val="28"/>
              <w:lang w:eastAsia="zh-TW"/>
            </w:rPr>
            <w:drawing>
              <wp:inline distT="0" distB="0" distL="0" distR="0" wp14:anchorId="689DD27C" wp14:editId="09A0D8CF">
                <wp:extent cx="654050" cy="584200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2" w:type="dxa"/>
        </w:tcPr>
        <w:p w:rsidR="00836A55" w:rsidRDefault="00836A55" w:rsidP="00836A55">
          <w:pPr>
            <w:pStyle w:val="Header"/>
            <w:rPr>
              <w:smallCaps/>
              <w:sz w:val="28"/>
            </w:rPr>
          </w:pPr>
          <w:r>
            <w:rPr>
              <w:rFonts w:ascii="Engravers MT" w:hAnsi="Engravers MT"/>
              <w:smallCaps/>
              <w:sz w:val="28"/>
            </w:rPr>
            <w:t>Los Angeles Unified School District</w:t>
          </w:r>
        </w:p>
        <w:p w:rsidR="00836A55" w:rsidRDefault="00836A55" w:rsidP="00836A55">
          <w:pPr>
            <w:pStyle w:val="Header"/>
            <w:rPr>
              <w:rFonts w:ascii="Engravers MT" w:hAnsi="Engravers MT"/>
              <w:smallCaps/>
              <w:sz w:val="28"/>
            </w:rPr>
          </w:pPr>
          <w:r>
            <w:rPr>
              <w:rFonts w:ascii="Engravers MT" w:hAnsi="Engravers MT"/>
              <w:smallCaps/>
            </w:rPr>
            <w:t>MEMORANDUM</w:t>
          </w:r>
          <w:r>
            <w:rPr>
              <w:rFonts w:ascii="Engravers MT" w:hAnsi="Engravers MT"/>
              <w:smallCaps/>
            </w:rPr>
            <w:tab/>
          </w:r>
        </w:p>
      </w:tc>
    </w:tr>
    <w:tr w:rsidR="00836A55" w:rsidTr="00836A55">
      <w:trPr>
        <w:cantSplit/>
        <w:trHeight w:val="192"/>
      </w:trPr>
      <w:tc>
        <w:tcPr>
          <w:tcW w:w="10440" w:type="dxa"/>
          <w:gridSpan w:val="2"/>
        </w:tcPr>
        <w:p w:rsidR="00836A55" w:rsidRDefault="00836A55" w:rsidP="00836A55">
          <w:pPr>
            <w:pStyle w:val="Header"/>
            <w:rPr>
              <w:rFonts w:ascii="Engravers MT" w:hAnsi="Engravers MT"/>
              <w:smallCaps/>
              <w:sz w:val="28"/>
            </w:rPr>
          </w:pPr>
        </w:p>
      </w:tc>
    </w:tr>
  </w:tbl>
  <w:p w:rsidR="00836A55" w:rsidRPr="008210B0" w:rsidRDefault="00836A55" w:rsidP="00836A55">
    <w:pPr>
      <w:pStyle w:val="Header"/>
    </w:pPr>
    <w:r>
      <w:rPr>
        <w:noProof/>
        <w:sz w:val="20"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04DD6" wp14:editId="35A71356">
              <wp:simplePos x="0" y="0"/>
              <wp:positionH relativeFrom="column">
                <wp:posOffset>-476250</wp:posOffset>
              </wp:positionH>
              <wp:positionV relativeFrom="paragraph">
                <wp:posOffset>-162560</wp:posOffset>
              </wp:positionV>
              <wp:extent cx="6648450" cy="12700"/>
              <wp:effectExtent l="19050" t="19050" r="19050" b="2540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127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F6BC45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5pt,-12.8pt" to="486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2604A"/>
    <w:multiLevelType w:val="hybridMultilevel"/>
    <w:tmpl w:val="7422D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154B"/>
    <w:multiLevelType w:val="hybridMultilevel"/>
    <w:tmpl w:val="49F23DD2"/>
    <w:lvl w:ilvl="0" w:tplc="1E00557E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25"/>
    <w:rsid w:val="0000271C"/>
    <w:rsid w:val="000230CD"/>
    <w:rsid w:val="0003085E"/>
    <w:rsid w:val="000331D3"/>
    <w:rsid w:val="00033CA0"/>
    <w:rsid w:val="00047545"/>
    <w:rsid w:val="000522F4"/>
    <w:rsid w:val="00071BCE"/>
    <w:rsid w:val="000A5C25"/>
    <w:rsid w:val="000B1ACA"/>
    <w:rsid w:val="000C239B"/>
    <w:rsid w:val="000C4643"/>
    <w:rsid w:val="000C65AD"/>
    <w:rsid w:val="000D24C1"/>
    <w:rsid w:val="00112FDF"/>
    <w:rsid w:val="00126B0B"/>
    <w:rsid w:val="001706A8"/>
    <w:rsid w:val="00172488"/>
    <w:rsid w:val="00177BF8"/>
    <w:rsid w:val="001A13AC"/>
    <w:rsid w:val="001A6208"/>
    <w:rsid w:val="001A7C74"/>
    <w:rsid w:val="001B6B1B"/>
    <w:rsid w:val="001B7221"/>
    <w:rsid w:val="001D4511"/>
    <w:rsid w:val="001F3EA0"/>
    <w:rsid w:val="00221613"/>
    <w:rsid w:val="00250CA3"/>
    <w:rsid w:val="002513D3"/>
    <w:rsid w:val="0025671B"/>
    <w:rsid w:val="00265432"/>
    <w:rsid w:val="002A1735"/>
    <w:rsid w:val="002B2F23"/>
    <w:rsid w:val="002C1049"/>
    <w:rsid w:val="002D4E83"/>
    <w:rsid w:val="002E7F67"/>
    <w:rsid w:val="002F76FD"/>
    <w:rsid w:val="00310501"/>
    <w:rsid w:val="0032019D"/>
    <w:rsid w:val="003201E8"/>
    <w:rsid w:val="0032032A"/>
    <w:rsid w:val="00325763"/>
    <w:rsid w:val="0039044C"/>
    <w:rsid w:val="003A574D"/>
    <w:rsid w:val="003D54D7"/>
    <w:rsid w:val="003E5B31"/>
    <w:rsid w:val="003F0446"/>
    <w:rsid w:val="003F5533"/>
    <w:rsid w:val="00406F61"/>
    <w:rsid w:val="00410230"/>
    <w:rsid w:val="00414FD0"/>
    <w:rsid w:val="00416DAE"/>
    <w:rsid w:val="004314D2"/>
    <w:rsid w:val="00431C53"/>
    <w:rsid w:val="00461838"/>
    <w:rsid w:val="00470200"/>
    <w:rsid w:val="00472D3C"/>
    <w:rsid w:val="004757A5"/>
    <w:rsid w:val="0048123D"/>
    <w:rsid w:val="004A39F9"/>
    <w:rsid w:val="004C29CE"/>
    <w:rsid w:val="004C2CA7"/>
    <w:rsid w:val="004D4598"/>
    <w:rsid w:val="004D6ACA"/>
    <w:rsid w:val="004F15F0"/>
    <w:rsid w:val="004F3090"/>
    <w:rsid w:val="00513CF2"/>
    <w:rsid w:val="005170ED"/>
    <w:rsid w:val="00527D9E"/>
    <w:rsid w:val="00530502"/>
    <w:rsid w:val="00534049"/>
    <w:rsid w:val="00535C29"/>
    <w:rsid w:val="005479DE"/>
    <w:rsid w:val="005919F5"/>
    <w:rsid w:val="005C2C4E"/>
    <w:rsid w:val="005E5950"/>
    <w:rsid w:val="006074D2"/>
    <w:rsid w:val="00617DA7"/>
    <w:rsid w:val="00620E41"/>
    <w:rsid w:val="0062315F"/>
    <w:rsid w:val="006457E9"/>
    <w:rsid w:val="00651451"/>
    <w:rsid w:val="00652319"/>
    <w:rsid w:val="006706FB"/>
    <w:rsid w:val="00670D6F"/>
    <w:rsid w:val="006B795E"/>
    <w:rsid w:val="006C4182"/>
    <w:rsid w:val="006C547E"/>
    <w:rsid w:val="006C6487"/>
    <w:rsid w:val="006D4320"/>
    <w:rsid w:val="006E1D19"/>
    <w:rsid w:val="006E2699"/>
    <w:rsid w:val="006E2995"/>
    <w:rsid w:val="006E4715"/>
    <w:rsid w:val="006F0C2F"/>
    <w:rsid w:val="006F4B0C"/>
    <w:rsid w:val="007171F1"/>
    <w:rsid w:val="0073653E"/>
    <w:rsid w:val="00741517"/>
    <w:rsid w:val="00744C1F"/>
    <w:rsid w:val="00753B6F"/>
    <w:rsid w:val="007741F1"/>
    <w:rsid w:val="00774E92"/>
    <w:rsid w:val="00782617"/>
    <w:rsid w:val="00784E17"/>
    <w:rsid w:val="0079772E"/>
    <w:rsid w:val="007B33B4"/>
    <w:rsid w:val="007C1D05"/>
    <w:rsid w:val="007C2A2E"/>
    <w:rsid w:val="0080033C"/>
    <w:rsid w:val="00803F95"/>
    <w:rsid w:val="008115C2"/>
    <w:rsid w:val="00817D1B"/>
    <w:rsid w:val="008303FB"/>
    <w:rsid w:val="00835EBC"/>
    <w:rsid w:val="00836A55"/>
    <w:rsid w:val="00843D6E"/>
    <w:rsid w:val="008804DB"/>
    <w:rsid w:val="008A7D5F"/>
    <w:rsid w:val="008E0AAE"/>
    <w:rsid w:val="008E65B0"/>
    <w:rsid w:val="008F4B37"/>
    <w:rsid w:val="00911EC5"/>
    <w:rsid w:val="00916862"/>
    <w:rsid w:val="00920BC8"/>
    <w:rsid w:val="00925FB1"/>
    <w:rsid w:val="00937E87"/>
    <w:rsid w:val="0095393D"/>
    <w:rsid w:val="00955265"/>
    <w:rsid w:val="0098646E"/>
    <w:rsid w:val="00986771"/>
    <w:rsid w:val="009A0147"/>
    <w:rsid w:val="00A02A44"/>
    <w:rsid w:val="00A12BAA"/>
    <w:rsid w:val="00A27AFE"/>
    <w:rsid w:val="00A358C2"/>
    <w:rsid w:val="00AA42A4"/>
    <w:rsid w:val="00AC3DBE"/>
    <w:rsid w:val="00AD18D7"/>
    <w:rsid w:val="00B16775"/>
    <w:rsid w:val="00B264EE"/>
    <w:rsid w:val="00B47B7D"/>
    <w:rsid w:val="00B47E22"/>
    <w:rsid w:val="00B51611"/>
    <w:rsid w:val="00B61628"/>
    <w:rsid w:val="00B83C15"/>
    <w:rsid w:val="00B91952"/>
    <w:rsid w:val="00BA22E2"/>
    <w:rsid w:val="00BD0659"/>
    <w:rsid w:val="00BD42CB"/>
    <w:rsid w:val="00BE3327"/>
    <w:rsid w:val="00C01C1A"/>
    <w:rsid w:val="00C06680"/>
    <w:rsid w:val="00C267F5"/>
    <w:rsid w:val="00C30BAC"/>
    <w:rsid w:val="00C349C6"/>
    <w:rsid w:val="00C37FDF"/>
    <w:rsid w:val="00C47ECE"/>
    <w:rsid w:val="00C638E2"/>
    <w:rsid w:val="00C77FCF"/>
    <w:rsid w:val="00C80686"/>
    <w:rsid w:val="00CB38EA"/>
    <w:rsid w:val="00CC3B10"/>
    <w:rsid w:val="00CD095D"/>
    <w:rsid w:val="00CF0BF2"/>
    <w:rsid w:val="00D04033"/>
    <w:rsid w:val="00D14C4A"/>
    <w:rsid w:val="00D23DA4"/>
    <w:rsid w:val="00D347A8"/>
    <w:rsid w:val="00D40FBF"/>
    <w:rsid w:val="00D64BCC"/>
    <w:rsid w:val="00D80EA6"/>
    <w:rsid w:val="00D8229E"/>
    <w:rsid w:val="00D957C4"/>
    <w:rsid w:val="00DD4496"/>
    <w:rsid w:val="00DE41D6"/>
    <w:rsid w:val="00E011EC"/>
    <w:rsid w:val="00E07128"/>
    <w:rsid w:val="00E14DF4"/>
    <w:rsid w:val="00E652E0"/>
    <w:rsid w:val="00E75257"/>
    <w:rsid w:val="00E90FC3"/>
    <w:rsid w:val="00EA799B"/>
    <w:rsid w:val="00EC00E3"/>
    <w:rsid w:val="00F044BE"/>
    <w:rsid w:val="00F07197"/>
    <w:rsid w:val="00F1198E"/>
    <w:rsid w:val="00F40263"/>
    <w:rsid w:val="00F57BEE"/>
    <w:rsid w:val="00F637B5"/>
    <w:rsid w:val="00F77EB1"/>
    <w:rsid w:val="00FA54B7"/>
    <w:rsid w:val="00FA5DDD"/>
    <w:rsid w:val="00FB2113"/>
    <w:rsid w:val="00FB6345"/>
    <w:rsid w:val="00FC1420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9DDA7C-CA77-B548-936C-12AE1FD7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C25"/>
  </w:style>
  <w:style w:type="paragraph" w:styleId="Footer">
    <w:name w:val="footer"/>
    <w:basedOn w:val="Normal"/>
    <w:link w:val="FooterChar"/>
    <w:uiPriority w:val="99"/>
    <w:unhideWhenUsed/>
    <w:rsid w:val="000A5C2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A5C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0A5C25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CT</cp:lastModifiedBy>
  <cp:revision>192</cp:revision>
  <dcterms:created xsi:type="dcterms:W3CDTF">2018-03-14T18:28:00Z</dcterms:created>
  <dcterms:modified xsi:type="dcterms:W3CDTF">2018-03-15T02:37:00Z</dcterms:modified>
</cp:coreProperties>
</file>