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6F5F7" w14:textId="77777777" w:rsidR="001402B7" w:rsidRDefault="002D4EDF" w:rsidP="00BA1600">
      <w:pPr>
        <w:jc w:val="center"/>
        <w:rPr>
          <w:b/>
          <w:sz w:val="36"/>
          <w:szCs w:val="24"/>
        </w:rPr>
      </w:pPr>
      <w:r w:rsidRPr="00444918">
        <w:rPr>
          <w:b/>
          <w:sz w:val="36"/>
          <w:szCs w:val="24"/>
        </w:rPr>
        <w:t>Instructions Page</w:t>
      </w:r>
    </w:p>
    <w:p w14:paraId="2A06FF3D" w14:textId="153F9175" w:rsidR="002002B7" w:rsidRPr="00BB3D10" w:rsidRDefault="002002B7" w:rsidP="002002B7">
      <w:pPr>
        <w:rPr>
          <w:b/>
          <w:szCs w:val="20"/>
        </w:rPr>
      </w:pPr>
      <w:r w:rsidRPr="002002B7">
        <w:rPr>
          <w:b/>
          <w:szCs w:val="20"/>
        </w:rPr>
        <w:t>The following documents have been provided for the following eligibilities: Autism, Emotional Disturbance, Intellectual Disability, Other Health Impairment, and Specific Learning Disabi</w:t>
      </w:r>
      <w:r>
        <w:rPr>
          <w:b/>
          <w:szCs w:val="20"/>
        </w:rPr>
        <w:t>l</w:t>
      </w:r>
      <w:r w:rsidRPr="002002B7">
        <w:rPr>
          <w:b/>
          <w:szCs w:val="20"/>
        </w:rPr>
        <w:t>ity.</w:t>
      </w:r>
      <w:r w:rsidR="0016074F">
        <w:rPr>
          <w:b/>
          <w:szCs w:val="20"/>
        </w:rPr>
        <w:t xml:space="preserve"> </w:t>
      </w:r>
      <w:r w:rsidR="001409E2" w:rsidRPr="00BB3D10">
        <w:rPr>
          <w:b/>
          <w:szCs w:val="20"/>
        </w:rPr>
        <w:t xml:space="preserve">Prior to beginning your case study, </w:t>
      </w:r>
      <w:r w:rsidR="002143CD" w:rsidRPr="00BB3D10">
        <w:rPr>
          <w:b/>
          <w:szCs w:val="20"/>
        </w:rPr>
        <w:t>utilize multiple sources of data to determine the</w:t>
      </w:r>
      <w:r w:rsidR="001409E2" w:rsidRPr="00BB3D10">
        <w:rPr>
          <w:b/>
          <w:szCs w:val="20"/>
        </w:rPr>
        <w:t xml:space="preserve"> reason for referral and consult </w:t>
      </w:r>
      <w:r w:rsidR="002143CD" w:rsidRPr="00BB3D10">
        <w:rPr>
          <w:b/>
          <w:szCs w:val="20"/>
        </w:rPr>
        <w:t>operational definitions for all suspected areas of disability.</w:t>
      </w:r>
    </w:p>
    <w:p w14:paraId="697AA066" w14:textId="6DE2B980" w:rsidR="002D4EDF" w:rsidRPr="00444918" w:rsidRDefault="0094650C" w:rsidP="0044491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Eligibility</w:t>
      </w:r>
      <w:r w:rsidR="00444918">
        <w:rPr>
          <w:b/>
          <w:sz w:val="24"/>
          <w:szCs w:val="24"/>
          <w:u w:val="single"/>
        </w:rPr>
        <w:t xml:space="preserve"> Reference Guide Document Instructions</w:t>
      </w:r>
    </w:p>
    <w:p w14:paraId="20684FB5" w14:textId="6AE91D4B" w:rsidR="00151812" w:rsidRPr="005B5604" w:rsidRDefault="00151812" w:rsidP="002D4EDF">
      <w:pPr>
        <w:rPr>
          <w:szCs w:val="24"/>
        </w:rPr>
      </w:pPr>
      <w:r w:rsidRPr="005B5604">
        <w:rPr>
          <w:szCs w:val="24"/>
        </w:rPr>
        <w:t xml:space="preserve">The </w:t>
      </w:r>
      <w:r w:rsidR="0094650C">
        <w:rPr>
          <w:szCs w:val="24"/>
        </w:rPr>
        <w:t>Eligibility</w:t>
      </w:r>
      <w:r w:rsidRPr="005B5604">
        <w:rPr>
          <w:szCs w:val="24"/>
        </w:rPr>
        <w:t xml:space="preserve"> Reference Guide Documents are a series of documents that reflect the key components that must be included in a comprehensive psycho-educational case study.</w:t>
      </w:r>
    </w:p>
    <w:p w14:paraId="5CC6A6BF" w14:textId="38DB6D6D" w:rsidR="002002B7" w:rsidRPr="005B5604" w:rsidRDefault="00C416E7" w:rsidP="002D4EDF">
      <w:pPr>
        <w:rPr>
          <w:szCs w:val="24"/>
        </w:rPr>
      </w:pPr>
      <w:r w:rsidRPr="005B5604">
        <w:rPr>
          <w:szCs w:val="24"/>
        </w:rPr>
        <w:t xml:space="preserve">The </w:t>
      </w:r>
      <w:r w:rsidR="0094650C">
        <w:rPr>
          <w:szCs w:val="24"/>
        </w:rPr>
        <w:t>Eligibility</w:t>
      </w:r>
      <w:r w:rsidRPr="005B5604">
        <w:rPr>
          <w:szCs w:val="24"/>
        </w:rPr>
        <w:t xml:space="preserve"> Reference Guide Document </w:t>
      </w:r>
      <w:r w:rsidRPr="00410812">
        <w:rPr>
          <w:b/>
          <w:szCs w:val="24"/>
        </w:rPr>
        <w:t>does not</w:t>
      </w:r>
      <w:r w:rsidRPr="005B5604">
        <w:rPr>
          <w:szCs w:val="24"/>
        </w:rPr>
        <w:t xml:space="preserve"> replace the mandated report template but should be used as a </w:t>
      </w:r>
      <w:r w:rsidRPr="00410812">
        <w:rPr>
          <w:b/>
          <w:szCs w:val="24"/>
        </w:rPr>
        <w:t>supplement</w:t>
      </w:r>
      <w:r w:rsidR="00151812" w:rsidRPr="005B5604">
        <w:rPr>
          <w:szCs w:val="24"/>
        </w:rPr>
        <w:t xml:space="preserve"> in developing your case study.</w:t>
      </w:r>
    </w:p>
    <w:p w14:paraId="4BF7DEFA" w14:textId="77777777" w:rsidR="00C416E7" w:rsidRPr="005B5604" w:rsidRDefault="002D4EDF" w:rsidP="002D4EDF">
      <w:pPr>
        <w:rPr>
          <w:szCs w:val="24"/>
        </w:rPr>
      </w:pPr>
      <w:r w:rsidRPr="005B5604">
        <w:rPr>
          <w:szCs w:val="24"/>
        </w:rPr>
        <w:t xml:space="preserve">While </w:t>
      </w:r>
      <w:r w:rsidR="00151812" w:rsidRPr="005B5604">
        <w:rPr>
          <w:szCs w:val="24"/>
        </w:rPr>
        <w:t>developing your case study</w:t>
      </w:r>
      <w:r w:rsidRPr="005B5604">
        <w:rPr>
          <w:szCs w:val="24"/>
        </w:rPr>
        <w:t xml:space="preserve">, </w:t>
      </w:r>
    </w:p>
    <w:p w14:paraId="7F3204BE" w14:textId="3FFD67A9" w:rsidR="00C416E7" w:rsidRPr="005B5604" w:rsidRDefault="00C416E7" w:rsidP="00C416E7">
      <w:pPr>
        <w:pStyle w:val="ListParagraph"/>
        <w:numPr>
          <w:ilvl w:val="0"/>
          <w:numId w:val="11"/>
        </w:numPr>
        <w:rPr>
          <w:szCs w:val="24"/>
        </w:rPr>
      </w:pPr>
      <w:r w:rsidRPr="005B5604">
        <w:rPr>
          <w:szCs w:val="24"/>
        </w:rPr>
        <w:t>R</w:t>
      </w:r>
      <w:r w:rsidR="002D4EDF" w:rsidRPr="005B5604">
        <w:rPr>
          <w:szCs w:val="24"/>
        </w:rPr>
        <w:t xml:space="preserve">efer to the specific </w:t>
      </w:r>
      <w:r w:rsidR="0094650C">
        <w:rPr>
          <w:szCs w:val="24"/>
        </w:rPr>
        <w:t>Eligibility</w:t>
      </w:r>
      <w:r w:rsidR="002D4EDF" w:rsidRPr="005B5604">
        <w:rPr>
          <w:szCs w:val="24"/>
        </w:rPr>
        <w:t xml:space="preserve"> Reference Guide Document for each </w:t>
      </w:r>
      <w:r w:rsidR="000C00D8" w:rsidRPr="005B5604">
        <w:rPr>
          <w:szCs w:val="24"/>
        </w:rPr>
        <w:t>suspected area of disability</w:t>
      </w:r>
      <w:r w:rsidRPr="005B5604">
        <w:rPr>
          <w:szCs w:val="24"/>
        </w:rPr>
        <w:t xml:space="preserve"> (</w:t>
      </w:r>
      <w:proofErr w:type="spellStart"/>
      <w:r w:rsidRPr="005B5604">
        <w:rPr>
          <w:szCs w:val="24"/>
        </w:rPr>
        <w:t>i.e</w:t>
      </w:r>
      <w:proofErr w:type="spellEnd"/>
      <w:r w:rsidRPr="005B5604">
        <w:rPr>
          <w:szCs w:val="24"/>
        </w:rPr>
        <w:t xml:space="preserve"> AUT, ED, ID, </w:t>
      </w:r>
      <w:r w:rsidR="000C00D8" w:rsidRPr="005B5604">
        <w:rPr>
          <w:szCs w:val="24"/>
        </w:rPr>
        <w:t>SLD, OHI</w:t>
      </w:r>
      <w:r w:rsidRPr="005B5604">
        <w:rPr>
          <w:szCs w:val="24"/>
        </w:rPr>
        <w:t>)</w:t>
      </w:r>
      <w:r w:rsidR="002D4EDF" w:rsidRPr="005B5604">
        <w:rPr>
          <w:szCs w:val="24"/>
        </w:rPr>
        <w:t xml:space="preserve"> </w:t>
      </w:r>
    </w:p>
    <w:p w14:paraId="3CECEAC1" w14:textId="77777777" w:rsidR="00C416E7" w:rsidRPr="005B5604" w:rsidRDefault="002D4EDF" w:rsidP="00C416E7">
      <w:pPr>
        <w:pStyle w:val="ListParagraph"/>
        <w:numPr>
          <w:ilvl w:val="0"/>
          <w:numId w:val="11"/>
        </w:numPr>
        <w:rPr>
          <w:szCs w:val="24"/>
        </w:rPr>
      </w:pPr>
      <w:r w:rsidRPr="005B5604">
        <w:rPr>
          <w:szCs w:val="24"/>
        </w:rPr>
        <w:t xml:space="preserve">Address each bullet point in the corresponding section of your report. </w:t>
      </w:r>
    </w:p>
    <w:p w14:paraId="67F6C028" w14:textId="50E4CD79" w:rsidR="00151812" w:rsidRPr="005B5604" w:rsidRDefault="004346ED" w:rsidP="002D4EDF">
      <w:pPr>
        <w:pStyle w:val="ListParagraph"/>
        <w:numPr>
          <w:ilvl w:val="0"/>
          <w:numId w:val="11"/>
        </w:numPr>
        <w:rPr>
          <w:szCs w:val="24"/>
        </w:rPr>
      </w:pPr>
      <w:r w:rsidRPr="005B5604">
        <w:rPr>
          <w:szCs w:val="24"/>
        </w:rPr>
        <w:t xml:space="preserve">You </w:t>
      </w:r>
      <w:r w:rsidR="002310A0" w:rsidRPr="005B5604">
        <w:rPr>
          <w:szCs w:val="24"/>
        </w:rPr>
        <w:t>will</w:t>
      </w:r>
      <w:r w:rsidRPr="005B5604">
        <w:rPr>
          <w:szCs w:val="24"/>
        </w:rPr>
        <w:t xml:space="preserve"> need to refer to more than one </w:t>
      </w:r>
      <w:r w:rsidR="0094650C">
        <w:rPr>
          <w:szCs w:val="24"/>
        </w:rPr>
        <w:t>eligibility</w:t>
      </w:r>
      <w:r w:rsidR="002310A0" w:rsidRPr="005B5604">
        <w:rPr>
          <w:szCs w:val="24"/>
        </w:rPr>
        <w:t xml:space="preserve"> reference guide document if there are multiple suspected areas of disability. </w:t>
      </w:r>
    </w:p>
    <w:p w14:paraId="0036BAC4" w14:textId="77777777" w:rsidR="001402B7" w:rsidRPr="0050362A" w:rsidRDefault="00151812" w:rsidP="001402B7">
      <w:pPr>
        <w:rPr>
          <w:b/>
          <w:u w:val="single"/>
        </w:rPr>
      </w:pPr>
      <w:r>
        <w:rPr>
          <w:b/>
          <w:u w:val="single"/>
        </w:rPr>
        <w:t>Eligibility Crite</w:t>
      </w:r>
      <w:r w:rsidR="00444918">
        <w:rPr>
          <w:b/>
          <w:u w:val="single"/>
        </w:rPr>
        <w:t>ria Operational Definitions</w:t>
      </w:r>
      <w:r w:rsidR="004346ED">
        <w:rPr>
          <w:b/>
          <w:u w:val="single"/>
        </w:rPr>
        <w:t xml:space="preserve"> Instructions</w:t>
      </w:r>
    </w:p>
    <w:p w14:paraId="4EA7AAD3" w14:textId="76FC52F2" w:rsidR="001402B7" w:rsidRDefault="00151812" w:rsidP="001402B7">
      <w:pPr>
        <w:spacing w:after="0" w:line="240" w:lineRule="auto"/>
      </w:pPr>
      <w:r>
        <w:t xml:space="preserve">The Operational Definitions Document provides specific examples of each criterion in the special education eligibility, as defined in </w:t>
      </w:r>
      <w:r w:rsidR="00842247">
        <w:t>Title 5 of the California Code of Regulations (CCR)</w:t>
      </w:r>
      <w:r>
        <w:t>.</w:t>
      </w:r>
    </w:p>
    <w:p w14:paraId="11512E48" w14:textId="77777777" w:rsidR="00151812" w:rsidRDefault="00151812" w:rsidP="001402B7">
      <w:pPr>
        <w:spacing w:after="0" w:line="240" w:lineRule="auto"/>
      </w:pPr>
    </w:p>
    <w:p w14:paraId="726948E9" w14:textId="77777777" w:rsidR="00151812" w:rsidRDefault="00151812" w:rsidP="001402B7">
      <w:pPr>
        <w:spacing w:after="0" w:line="240" w:lineRule="auto"/>
      </w:pPr>
      <w:r>
        <w:t>While developing your case study,</w:t>
      </w:r>
    </w:p>
    <w:p w14:paraId="4C1EFACB" w14:textId="77777777" w:rsidR="0016074F" w:rsidRDefault="0016074F" w:rsidP="001402B7">
      <w:pPr>
        <w:spacing w:after="0" w:line="240" w:lineRule="auto"/>
      </w:pPr>
    </w:p>
    <w:p w14:paraId="5B882A2A" w14:textId="77777777" w:rsidR="00151812" w:rsidRDefault="00A0728A" w:rsidP="00151812">
      <w:pPr>
        <w:pStyle w:val="ListParagraph"/>
        <w:numPr>
          <w:ilvl w:val="0"/>
          <w:numId w:val="12"/>
        </w:numPr>
        <w:spacing w:after="0" w:line="240" w:lineRule="auto"/>
      </w:pPr>
      <w:r>
        <w:t>Refer to the specific Operational Definitions Document for each suspected area of disability.</w:t>
      </w:r>
    </w:p>
    <w:p w14:paraId="11C68718" w14:textId="77777777" w:rsidR="00A0728A" w:rsidRDefault="00F175DB" w:rsidP="00151812">
      <w:pPr>
        <w:pStyle w:val="ListParagraph"/>
        <w:numPr>
          <w:ilvl w:val="0"/>
          <w:numId w:val="12"/>
        </w:numPr>
        <w:spacing w:after="0" w:line="240" w:lineRule="auto"/>
      </w:pPr>
      <w:r>
        <w:t>Specific examples of operational definitions must be embedded throughout your report.</w:t>
      </w:r>
    </w:p>
    <w:p w14:paraId="08396489" w14:textId="0243FB8C" w:rsidR="00F175DB" w:rsidRDefault="00C54B28" w:rsidP="00151812">
      <w:pPr>
        <w:pStyle w:val="ListParagraph"/>
        <w:numPr>
          <w:ilvl w:val="0"/>
          <w:numId w:val="12"/>
        </w:numPr>
        <w:spacing w:after="0" w:line="240" w:lineRule="auto"/>
      </w:pPr>
      <w:r>
        <w:t>Final eligibility determination must include operational definitions previously cited throughout the various sections of the report.</w:t>
      </w:r>
    </w:p>
    <w:p w14:paraId="1CD293D2" w14:textId="77777777" w:rsidR="00151812" w:rsidRPr="0050362A" w:rsidRDefault="00151812" w:rsidP="001402B7">
      <w:pPr>
        <w:spacing w:after="0" w:line="240" w:lineRule="auto"/>
      </w:pPr>
    </w:p>
    <w:p w14:paraId="557D8DAB" w14:textId="77777777" w:rsidR="001402B7" w:rsidRDefault="004346ED" w:rsidP="001402B7">
      <w:pPr>
        <w:rPr>
          <w:b/>
          <w:u w:val="single"/>
        </w:rPr>
      </w:pPr>
      <w:r>
        <w:rPr>
          <w:b/>
          <w:u w:val="single"/>
        </w:rPr>
        <w:t>Component Checklist Instructions</w:t>
      </w:r>
    </w:p>
    <w:p w14:paraId="0515D579" w14:textId="3B703EB0" w:rsidR="00C54B28" w:rsidRDefault="00C54B28" w:rsidP="001402B7">
      <w:proofErr w:type="gramStart"/>
      <w:r>
        <w:t xml:space="preserve">The Component </w:t>
      </w:r>
      <w:r w:rsidR="00B0238C">
        <w:t>Checklist Document is used to document where eligibility criteria data can be found within the psycho-educational report.</w:t>
      </w:r>
      <w:proofErr w:type="gramEnd"/>
      <w:r w:rsidR="00B0238C">
        <w:t xml:space="preserve"> The document is to be utilized in conjunction with the development of the case study to provide uniform guidance with regard to specific information that must be included in a comprehensive psycho-educational report in accordance with the eligibility criteria in the </w:t>
      </w:r>
      <w:r w:rsidR="00842247">
        <w:t>California Code of Regulations (CCR), Title 5</w:t>
      </w:r>
      <w:r w:rsidR="00B0238C">
        <w:t>.</w:t>
      </w:r>
    </w:p>
    <w:p w14:paraId="3608D12D" w14:textId="7819E261" w:rsidR="00B0238C" w:rsidRPr="00C54B28" w:rsidRDefault="00001C63" w:rsidP="001402B7">
      <w:r>
        <w:t xml:space="preserve">This document is </w:t>
      </w:r>
      <w:r w:rsidR="00145F1E">
        <w:t xml:space="preserve">to be completed for </w:t>
      </w:r>
      <w:r w:rsidR="00145F1E">
        <w:rPr>
          <w:b/>
        </w:rPr>
        <w:t xml:space="preserve">all </w:t>
      </w:r>
      <w:r w:rsidR="00145F1E">
        <w:t xml:space="preserve">cases being brought to case review (initial consideration of AUT, ED, </w:t>
      </w:r>
      <w:proofErr w:type="gramStart"/>
      <w:r w:rsidR="00145F1E">
        <w:t>OHI</w:t>
      </w:r>
      <w:proofErr w:type="gramEnd"/>
      <w:r w:rsidR="00145F1E">
        <w:t>)</w:t>
      </w:r>
      <w:r>
        <w:t>.</w:t>
      </w:r>
    </w:p>
    <w:p w14:paraId="7E998400" w14:textId="77777777" w:rsidR="005B5604" w:rsidRDefault="005B5604" w:rsidP="004346ED">
      <w:pPr>
        <w:rPr>
          <w:b/>
          <w:sz w:val="24"/>
          <w:szCs w:val="24"/>
          <w:u w:val="single"/>
        </w:rPr>
      </w:pPr>
      <w:bookmarkStart w:id="0" w:name="_GoBack"/>
      <w:bookmarkEnd w:id="0"/>
    </w:p>
    <w:sectPr w:rsidR="005B5604" w:rsidSect="00BB3E8D">
      <w:headerReference w:type="default" r:id="rId9"/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835F6" w14:textId="77777777" w:rsidR="00451B3A" w:rsidRDefault="00451B3A" w:rsidP="00377111">
      <w:pPr>
        <w:spacing w:after="0" w:line="240" w:lineRule="auto"/>
      </w:pPr>
      <w:r>
        <w:separator/>
      </w:r>
    </w:p>
  </w:endnote>
  <w:endnote w:type="continuationSeparator" w:id="0">
    <w:p w14:paraId="19291F45" w14:textId="77777777" w:rsidR="00451B3A" w:rsidRDefault="00451B3A" w:rsidP="0037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5366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4935E3" w14:textId="77777777" w:rsidR="00A0728A" w:rsidRDefault="00A072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B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B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A5083A" w14:textId="77777777" w:rsidR="00A0728A" w:rsidRDefault="00A07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5B6B8" w14:textId="77777777" w:rsidR="00451B3A" w:rsidRDefault="00451B3A" w:rsidP="00377111">
      <w:pPr>
        <w:spacing w:after="0" w:line="240" w:lineRule="auto"/>
      </w:pPr>
      <w:r>
        <w:separator/>
      </w:r>
    </w:p>
  </w:footnote>
  <w:footnote w:type="continuationSeparator" w:id="0">
    <w:p w14:paraId="77CDA244" w14:textId="77777777" w:rsidR="00451B3A" w:rsidRDefault="00451B3A" w:rsidP="0037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9FFD5" w14:textId="77777777" w:rsidR="00A0728A" w:rsidRPr="00377111" w:rsidRDefault="00A0728A" w:rsidP="00BA1600">
    <w:pPr>
      <w:pStyle w:val="Header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549C0" wp14:editId="0EFB01AD">
              <wp:simplePos x="0" y="0"/>
              <wp:positionH relativeFrom="column">
                <wp:posOffset>1354347</wp:posOffset>
              </wp:positionH>
              <wp:positionV relativeFrom="paragraph">
                <wp:posOffset>70737</wp:posOffset>
              </wp:positionV>
              <wp:extent cx="3925019" cy="638354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5019" cy="6383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5EC10" w14:textId="77777777" w:rsidR="00A0728A" w:rsidRPr="00BA1600" w:rsidRDefault="00A0728A" w:rsidP="00BA1600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A1600">
                            <w:rPr>
                              <w:b/>
                              <w:sz w:val="32"/>
                              <w:szCs w:val="32"/>
                            </w:rPr>
                            <w:t>Division of Special Education</w:t>
                          </w:r>
                        </w:p>
                        <w:p w14:paraId="5CADE506" w14:textId="77777777" w:rsidR="00A0728A" w:rsidRPr="00BA1600" w:rsidRDefault="00A0728A" w:rsidP="00BA1600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A1600">
                            <w:rPr>
                              <w:b/>
                              <w:sz w:val="28"/>
                              <w:szCs w:val="28"/>
                            </w:rPr>
                            <w:t>Psychological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106.65pt;margin-top:5.55pt;width:309.0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" fillcolor="white [3201]" stroked="f" strokeweight=".5pt">
              <v:textbox>
                <w:txbxContent>
                  <w:p w14:paraId="1135EC10" w14:textId="77777777" w:rsidR="00A0728A" w:rsidRPr="00BA1600" w:rsidRDefault="00A0728A" w:rsidP="00BA1600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A1600">
                      <w:rPr>
                        <w:b/>
                        <w:sz w:val="32"/>
                        <w:szCs w:val="32"/>
                      </w:rPr>
                      <w:t>Division of Special Education</w:t>
                    </w:r>
                  </w:p>
                  <w:p w14:paraId="5CADE506" w14:textId="77777777" w:rsidR="00A0728A" w:rsidRPr="00BA1600" w:rsidRDefault="00A0728A" w:rsidP="00BA1600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A1600">
                      <w:rPr>
                        <w:b/>
                        <w:sz w:val="28"/>
                        <w:szCs w:val="28"/>
                      </w:rPr>
                      <w:t>Psychological Services</w:t>
                    </w:r>
                  </w:p>
                </w:txbxContent>
              </v:textbox>
            </v:shape>
          </w:pict>
        </mc:Fallback>
      </mc:AlternateContent>
    </w:r>
    <w:r w:rsidR="00451B3A">
      <w:pict w14:anchorId="4E7C0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45pt;height:65.45pt" fillcolor="window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C80"/>
    <w:multiLevelType w:val="hybridMultilevel"/>
    <w:tmpl w:val="B872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B64A6"/>
    <w:multiLevelType w:val="hybridMultilevel"/>
    <w:tmpl w:val="FDC62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B2C17"/>
    <w:multiLevelType w:val="hybridMultilevel"/>
    <w:tmpl w:val="55A40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7661D"/>
    <w:multiLevelType w:val="hybridMultilevel"/>
    <w:tmpl w:val="47B4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61C7E"/>
    <w:multiLevelType w:val="hybridMultilevel"/>
    <w:tmpl w:val="EA2E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55C11"/>
    <w:multiLevelType w:val="hybridMultilevel"/>
    <w:tmpl w:val="E090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44AC2"/>
    <w:multiLevelType w:val="hybridMultilevel"/>
    <w:tmpl w:val="4FD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E42B0"/>
    <w:multiLevelType w:val="hybridMultilevel"/>
    <w:tmpl w:val="4EF0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F2E03"/>
    <w:multiLevelType w:val="hybridMultilevel"/>
    <w:tmpl w:val="D56C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F66CC"/>
    <w:multiLevelType w:val="hybridMultilevel"/>
    <w:tmpl w:val="C38A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E3675"/>
    <w:multiLevelType w:val="hybridMultilevel"/>
    <w:tmpl w:val="BF5CC8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60533F"/>
    <w:multiLevelType w:val="hybridMultilevel"/>
    <w:tmpl w:val="AF9EB4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UDT6DccnIZGBRNbKxuK5DWHCtWc=" w:salt="oi7hNkAhuNRcHGYROWmPF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E3"/>
    <w:rsid w:val="00001C63"/>
    <w:rsid w:val="00025CF7"/>
    <w:rsid w:val="00052A77"/>
    <w:rsid w:val="000B58F3"/>
    <w:rsid w:val="000C00D8"/>
    <w:rsid w:val="00103FAB"/>
    <w:rsid w:val="001402B7"/>
    <w:rsid w:val="001409E2"/>
    <w:rsid w:val="00145F1E"/>
    <w:rsid w:val="00151812"/>
    <w:rsid w:val="0016074F"/>
    <w:rsid w:val="001C372A"/>
    <w:rsid w:val="001F6C4A"/>
    <w:rsid w:val="002002B7"/>
    <w:rsid w:val="002143CD"/>
    <w:rsid w:val="002310A0"/>
    <w:rsid w:val="002655E0"/>
    <w:rsid w:val="00271C0F"/>
    <w:rsid w:val="002D4EDF"/>
    <w:rsid w:val="002F35B7"/>
    <w:rsid w:val="00341AB3"/>
    <w:rsid w:val="00353CA6"/>
    <w:rsid w:val="00377111"/>
    <w:rsid w:val="003B6220"/>
    <w:rsid w:val="00410812"/>
    <w:rsid w:val="00426C9F"/>
    <w:rsid w:val="004346ED"/>
    <w:rsid w:val="00444918"/>
    <w:rsid w:val="00451B3A"/>
    <w:rsid w:val="0045228C"/>
    <w:rsid w:val="004D58B2"/>
    <w:rsid w:val="00501F3D"/>
    <w:rsid w:val="00546E92"/>
    <w:rsid w:val="00594FE6"/>
    <w:rsid w:val="005A3F41"/>
    <w:rsid w:val="005A7903"/>
    <w:rsid w:val="005B5604"/>
    <w:rsid w:val="005D2CC7"/>
    <w:rsid w:val="006037CD"/>
    <w:rsid w:val="006247FA"/>
    <w:rsid w:val="006321E1"/>
    <w:rsid w:val="00654131"/>
    <w:rsid w:val="006A44A8"/>
    <w:rsid w:val="006C3BD2"/>
    <w:rsid w:val="006C7F8D"/>
    <w:rsid w:val="00742E76"/>
    <w:rsid w:val="0075457E"/>
    <w:rsid w:val="00791712"/>
    <w:rsid w:val="007934E3"/>
    <w:rsid w:val="00842247"/>
    <w:rsid w:val="00883113"/>
    <w:rsid w:val="008D651E"/>
    <w:rsid w:val="008E47DF"/>
    <w:rsid w:val="00914BFF"/>
    <w:rsid w:val="0094650C"/>
    <w:rsid w:val="0095247F"/>
    <w:rsid w:val="009640F2"/>
    <w:rsid w:val="00A0728A"/>
    <w:rsid w:val="00A37530"/>
    <w:rsid w:val="00AB5ECC"/>
    <w:rsid w:val="00AF0249"/>
    <w:rsid w:val="00AF33C4"/>
    <w:rsid w:val="00AF7F26"/>
    <w:rsid w:val="00B0238C"/>
    <w:rsid w:val="00B0305D"/>
    <w:rsid w:val="00BA1600"/>
    <w:rsid w:val="00BB3D10"/>
    <w:rsid w:val="00BB3E8D"/>
    <w:rsid w:val="00BC39E9"/>
    <w:rsid w:val="00C27A2E"/>
    <w:rsid w:val="00C416E7"/>
    <w:rsid w:val="00C5311C"/>
    <w:rsid w:val="00C545DA"/>
    <w:rsid w:val="00C54B28"/>
    <w:rsid w:val="00C82768"/>
    <w:rsid w:val="00CD36CF"/>
    <w:rsid w:val="00CE7321"/>
    <w:rsid w:val="00D867DC"/>
    <w:rsid w:val="00DE6040"/>
    <w:rsid w:val="00E32A31"/>
    <w:rsid w:val="00E43772"/>
    <w:rsid w:val="00E502C3"/>
    <w:rsid w:val="00E7261D"/>
    <w:rsid w:val="00E8336B"/>
    <w:rsid w:val="00EE06C9"/>
    <w:rsid w:val="00F03021"/>
    <w:rsid w:val="00F175DB"/>
    <w:rsid w:val="00F7292C"/>
    <w:rsid w:val="00FA3360"/>
    <w:rsid w:val="00FB3D59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40E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11"/>
  </w:style>
  <w:style w:type="paragraph" w:styleId="Footer">
    <w:name w:val="footer"/>
    <w:basedOn w:val="Normal"/>
    <w:link w:val="FooterChar"/>
    <w:uiPriority w:val="99"/>
    <w:unhideWhenUsed/>
    <w:rsid w:val="0037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11"/>
  </w:style>
  <w:style w:type="paragraph" w:styleId="BalloonText">
    <w:name w:val="Balloon Text"/>
    <w:basedOn w:val="Normal"/>
    <w:link w:val="BalloonTextChar"/>
    <w:uiPriority w:val="99"/>
    <w:semiHidden/>
    <w:unhideWhenUsed/>
    <w:rsid w:val="0037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11"/>
  </w:style>
  <w:style w:type="paragraph" w:styleId="Footer">
    <w:name w:val="footer"/>
    <w:basedOn w:val="Normal"/>
    <w:link w:val="FooterChar"/>
    <w:uiPriority w:val="99"/>
    <w:unhideWhenUsed/>
    <w:rsid w:val="0037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11"/>
  </w:style>
  <w:style w:type="paragraph" w:styleId="BalloonText">
    <w:name w:val="Balloon Text"/>
    <w:basedOn w:val="Normal"/>
    <w:link w:val="BalloonTextChar"/>
    <w:uiPriority w:val="99"/>
    <w:semiHidden/>
    <w:unhideWhenUsed/>
    <w:rsid w:val="0037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27C5-2317-46A7-927F-D9571EFB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347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Windows User</cp:lastModifiedBy>
  <cp:revision>12</cp:revision>
  <cp:lastPrinted>2014-05-15T23:37:00Z</cp:lastPrinted>
  <dcterms:created xsi:type="dcterms:W3CDTF">2014-06-11T17:56:00Z</dcterms:created>
  <dcterms:modified xsi:type="dcterms:W3CDTF">2014-08-07T17:47:00Z</dcterms:modified>
</cp:coreProperties>
</file>