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C" w:rsidRDefault="002514D7">
      <w:pPr>
        <w:tabs>
          <w:tab w:val="left" w:pos="8614"/>
        </w:tabs>
        <w:spacing w:before="77"/>
        <w:ind w:left="220" w:right="230"/>
        <w:rPr>
          <w:sz w:val="20"/>
        </w:rPr>
      </w:pPr>
      <w:r>
        <w:rPr>
          <w:sz w:val="20"/>
        </w:rPr>
        <w:t>Secretaría de Educación del Estado de California</w:t>
      </w:r>
      <w:r>
        <w:rPr>
          <w:sz w:val="20"/>
        </w:rPr>
        <w:tab/>
        <w:t>División de Educación Especial Formulario SED (Modificado 3/2016)</w:t>
      </w:r>
    </w:p>
    <w:p w:rsidR="00CE576C" w:rsidRDefault="002514D7" w:rsidP="002514D7">
      <w:pPr>
        <w:ind w:right="40"/>
        <w:jc w:val="center"/>
        <w:rPr>
          <w:b/>
          <w:sz w:val="24"/>
        </w:rPr>
      </w:pPr>
      <w:r>
        <w:rPr>
          <w:b/>
          <w:sz w:val="24"/>
        </w:rPr>
        <w:t>Certificación de Participación, Compatibilidad y Garantías de Acatamiento</w:t>
      </w:r>
    </w:p>
    <w:p w:rsidR="00CE576C" w:rsidRDefault="00CE576C">
      <w:pPr>
        <w:pStyle w:val="BodyText"/>
        <w:spacing w:before="5"/>
        <w:rPr>
          <w:b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1"/>
        <w:gridCol w:w="1680"/>
        <w:gridCol w:w="1619"/>
      </w:tblGrid>
      <w:tr w:rsidR="00CE576C">
        <w:trPr>
          <w:trHeight w:val="539"/>
        </w:trPr>
        <w:tc>
          <w:tcPr>
            <w:tcW w:w="10980" w:type="dxa"/>
            <w:gridSpan w:val="3"/>
            <w:shd w:val="clear" w:color="auto" w:fill="BEBEBE"/>
          </w:tcPr>
          <w:p w:rsidR="00CE576C" w:rsidRDefault="002514D7">
            <w:pPr>
              <w:pStyle w:val="TableParagraph"/>
              <w:spacing w:before="127"/>
              <w:ind w:left="2894"/>
              <w:rPr>
                <w:b/>
                <w:sz w:val="24"/>
              </w:rPr>
            </w:pPr>
            <w:r>
              <w:rPr>
                <w:b/>
                <w:sz w:val="24"/>
              </w:rPr>
              <w:t>Certificación del Comité Asesor Comunitario</w:t>
            </w:r>
          </w:p>
        </w:tc>
      </w:tr>
      <w:tr w:rsidR="00CE576C">
        <w:trPr>
          <w:trHeight w:val="618"/>
        </w:trPr>
        <w:tc>
          <w:tcPr>
            <w:tcW w:w="7681" w:type="dxa"/>
          </w:tcPr>
          <w:p w:rsidR="00CE576C" w:rsidRDefault="002514D7">
            <w:pPr>
              <w:pStyle w:val="TableParagraph"/>
              <w:spacing w:before="177"/>
              <w:ind w:left="107"/>
              <w:rPr>
                <w:b/>
              </w:rPr>
            </w:pPr>
            <w:r>
              <w:rPr>
                <w:b/>
              </w:rPr>
              <w:t>Verificación de acatamiento con el CAC</w:t>
            </w:r>
          </w:p>
        </w:tc>
        <w:tc>
          <w:tcPr>
            <w:tcW w:w="1680" w:type="dxa"/>
          </w:tcPr>
          <w:p w:rsidR="00CE576C" w:rsidRDefault="002514D7">
            <w:pPr>
              <w:pStyle w:val="TableParagraph"/>
              <w:spacing w:before="177"/>
              <w:ind w:left="623" w:right="615"/>
              <w:jc w:val="center"/>
              <w:rPr>
                <w:b/>
              </w:rPr>
            </w:pPr>
            <w:r>
              <w:rPr>
                <w:b/>
              </w:rPr>
              <w:t>Sí</w:t>
            </w:r>
          </w:p>
        </w:tc>
        <w:tc>
          <w:tcPr>
            <w:tcW w:w="1619" w:type="dxa"/>
          </w:tcPr>
          <w:p w:rsidR="00CE576C" w:rsidRDefault="002514D7">
            <w:pPr>
              <w:pStyle w:val="TableParagraph"/>
              <w:spacing w:before="177"/>
              <w:ind w:left="642" w:right="63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E576C">
        <w:trPr>
          <w:trHeight w:val="981"/>
        </w:trPr>
        <w:tc>
          <w:tcPr>
            <w:tcW w:w="7681" w:type="dxa"/>
          </w:tcPr>
          <w:p w:rsidR="00CE576C" w:rsidRDefault="002514D7">
            <w:pPr>
              <w:pStyle w:val="TableParagraph"/>
              <w:spacing w:before="110"/>
              <w:ind w:left="107" w:right="927"/>
            </w:pPr>
            <w:r>
              <w:t>El Comité Asesor Comunitario (CAC, por sus siglas en inglés) ha asesorado sobre la política y la dependencia administrativa durante el desarrollo del Plan Local de conformidad con la Sección 56194 del Código de Educación del Estado de California.</w:t>
            </w:r>
          </w:p>
        </w:tc>
        <w:tc>
          <w:tcPr>
            <w:tcW w:w="1680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76C">
        <w:trPr>
          <w:trHeight w:val="1250"/>
        </w:trPr>
        <w:tc>
          <w:tcPr>
            <w:tcW w:w="7681" w:type="dxa"/>
          </w:tcPr>
          <w:p w:rsidR="00CE576C" w:rsidRDefault="002514D7">
            <w:pPr>
              <w:pStyle w:val="TableParagraph"/>
              <w:spacing w:before="117"/>
              <w:ind w:left="107" w:right="951"/>
            </w:pPr>
            <w:r>
              <w:t>Para asegurar participación y comunicación adecuada y eficaz de conformidad con EC 56195.9, los padres miembros del CAC o los padres seleccionados por el CAC, participaron en el desarrollo y actualización del Plan Local para la educación especial.</w:t>
            </w:r>
          </w:p>
        </w:tc>
        <w:tc>
          <w:tcPr>
            <w:tcW w:w="1680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76C">
        <w:trPr>
          <w:trHeight w:val="978"/>
        </w:trPr>
        <w:tc>
          <w:tcPr>
            <w:tcW w:w="7681" w:type="dxa"/>
          </w:tcPr>
          <w:p w:rsidR="00CE576C" w:rsidRDefault="002514D7">
            <w:pPr>
              <w:pStyle w:val="TableParagraph"/>
              <w:spacing w:before="108"/>
              <w:ind w:left="107" w:right="903"/>
            </w:pPr>
            <w:r>
              <w:t>El pl</w:t>
            </w:r>
            <w:r>
              <w:t xml:space="preserve">an fue revisado por el CAC y el comité tuvo por lo menos 30 días para llevar a cabo esta revisión, antes de la entrega del Plan Local al Superintendente conforme a </w:t>
            </w:r>
            <w:r>
              <w:rPr>
                <w:i/>
              </w:rPr>
              <w:t xml:space="preserve">EC </w:t>
            </w:r>
            <w:r>
              <w:t>56205(b)(6).</w:t>
            </w:r>
          </w:p>
        </w:tc>
        <w:tc>
          <w:tcPr>
            <w:tcW w:w="1680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76C">
        <w:trPr>
          <w:trHeight w:val="981"/>
        </w:trPr>
        <w:tc>
          <w:tcPr>
            <w:tcW w:w="7681" w:type="dxa"/>
          </w:tcPr>
          <w:p w:rsidR="00CE576C" w:rsidRDefault="002514D7">
            <w:pPr>
              <w:pStyle w:val="TableParagraph"/>
              <w:spacing w:before="110"/>
              <w:ind w:left="107" w:right="1148"/>
            </w:pPr>
            <w:r>
              <w:t xml:space="preserve">El CAC ha repasado cualquier revisión hecha al Plan Local a resultado de las recomendaciones o los requisitos </w:t>
            </w:r>
            <w:bookmarkStart w:id="0" w:name="_GoBack"/>
            <w:bookmarkEnd w:id="0"/>
            <w:r>
              <w:t>de la Secretaría de Educación del Estado de California.</w:t>
            </w:r>
          </w:p>
        </w:tc>
        <w:tc>
          <w:tcPr>
            <w:tcW w:w="1680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</w:tcPr>
          <w:p w:rsidR="00CE576C" w:rsidRDefault="00CE57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76C">
        <w:trPr>
          <w:trHeight w:val="510"/>
        </w:trPr>
        <w:tc>
          <w:tcPr>
            <w:tcW w:w="10980" w:type="dxa"/>
            <w:gridSpan w:val="3"/>
            <w:shd w:val="clear" w:color="auto" w:fill="BEBEBE"/>
          </w:tcPr>
          <w:p w:rsidR="00CE576C" w:rsidRDefault="002514D7">
            <w:pPr>
              <w:pStyle w:val="TableParagraph"/>
              <w:spacing w:before="124"/>
              <w:ind w:left="4418" w:right="4408"/>
              <w:jc w:val="center"/>
              <w:rPr>
                <w:b/>
              </w:rPr>
            </w:pPr>
            <w:r>
              <w:rPr>
                <w:b/>
              </w:rPr>
              <w:t>Firma de Certificación</w:t>
            </w:r>
          </w:p>
        </w:tc>
      </w:tr>
      <w:tr w:rsidR="00CE576C">
        <w:trPr>
          <w:trHeight w:val="775"/>
        </w:trPr>
        <w:tc>
          <w:tcPr>
            <w:tcW w:w="7681" w:type="dxa"/>
          </w:tcPr>
          <w:p w:rsidR="00CE576C" w:rsidRDefault="002514D7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Nombre y apellido del Presidente (letra de molde)</w:t>
            </w:r>
          </w:p>
        </w:tc>
        <w:tc>
          <w:tcPr>
            <w:tcW w:w="3299" w:type="dxa"/>
            <w:gridSpan w:val="2"/>
          </w:tcPr>
          <w:p w:rsidR="00CE576C" w:rsidRDefault="002514D7">
            <w:pPr>
              <w:pStyle w:val="TableParagraph"/>
              <w:tabs>
                <w:tab w:val="left" w:pos="419"/>
              </w:tabs>
              <w:ind w:left="108" w:right="2656"/>
              <w:rPr>
                <w:sz w:val="18"/>
              </w:rPr>
            </w:pPr>
            <w:r>
              <w:rPr>
                <w:sz w:val="18"/>
              </w:rPr>
              <w:t>Teléfono (</w:t>
            </w:r>
            <w:r>
              <w:rPr>
                <w:sz w:val="18"/>
              </w:rPr>
              <w:tab/>
              <w:t>)</w:t>
            </w:r>
          </w:p>
        </w:tc>
      </w:tr>
      <w:tr w:rsidR="00CE576C">
        <w:trPr>
          <w:trHeight w:val="781"/>
        </w:trPr>
        <w:tc>
          <w:tcPr>
            <w:tcW w:w="7681" w:type="dxa"/>
            <w:shd w:val="clear" w:color="auto" w:fill="D9D9D9"/>
          </w:tcPr>
          <w:p w:rsidR="00CE576C" w:rsidRDefault="002514D7">
            <w:pPr>
              <w:pStyle w:val="TableParagraph"/>
              <w:spacing w:line="201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Firma del Presidente del CAC</w:t>
            </w:r>
          </w:p>
        </w:tc>
        <w:tc>
          <w:tcPr>
            <w:tcW w:w="3299" w:type="dxa"/>
            <w:gridSpan w:val="2"/>
            <w:shd w:val="clear" w:color="auto" w:fill="D9D9D9"/>
          </w:tcPr>
          <w:p w:rsidR="00CE576C" w:rsidRDefault="002514D7">
            <w:pPr>
              <w:pStyle w:val="TableParagraph"/>
              <w:spacing w:line="201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Fecha</w:t>
            </w:r>
          </w:p>
        </w:tc>
      </w:tr>
    </w:tbl>
    <w:p w:rsidR="00CE576C" w:rsidRDefault="002514D7">
      <w:pPr>
        <w:pStyle w:val="BodyText"/>
        <w:ind w:left="220" w:right="317"/>
      </w:pPr>
      <w:r>
        <w:t xml:space="preserve">Si se marcó [ </w:t>
      </w:r>
      <w:proofErr w:type="gramStart"/>
      <w:r>
        <w:rPr>
          <w:rFonts w:ascii="Wingdings" w:hAnsi="Wingdings"/>
          <w:b/>
          <w:sz w:val="24"/>
        </w:rPr>
        <w:t></w:t>
      </w:r>
      <w:r>
        <w:t xml:space="preserve"> ]</w:t>
      </w:r>
      <w:proofErr w:type="gramEnd"/>
      <w:r>
        <w:t xml:space="preserve"> “No” para cualquiera de las certificaciones anteriores, puede entregar información específica, por escrito, en relación a por qué no se certificó que el área del plan local para la educación especial (SELPA) cumplió con el requisito.</w:t>
      </w:r>
      <w:r>
        <w:t xml:space="preserve"> (Anexar una página </w:t>
      </w:r>
      <w:r>
        <w:t>adicional si es necesario.) El Departamento tomará esto en consideración en su revisión de la solicitud del Plan Local.</w:t>
      </w:r>
    </w:p>
    <w:sectPr w:rsidR="00CE576C">
      <w:type w:val="continuous"/>
      <w:pgSz w:w="12240" w:h="15840"/>
      <w:pgMar w:top="64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576C"/>
    <w:rsid w:val="002514D7"/>
    <w:rsid w:val="00C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3F5BE-E33B-4F0F-9978-72D9321E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SED-LP-2 - Data Collection &amp; Reporting (CA Dept of Education)</dc:title>
  <dc:subject>Community Advisory Committee (CAC) Certification of Participation.</dc:subject>
  <dc:creator>Alexa Slater</dc:creator>
  <cp:keywords>Local Plan, Community Advisory Committee, Assurances</cp:keywords>
  <cp:lastModifiedBy>Luz Roldan</cp:lastModifiedBy>
  <cp:revision>2</cp:revision>
  <dcterms:created xsi:type="dcterms:W3CDTF">2017-05-16T22:09:00Z</dcterms:created>
  <dcterms:modified xsi:type="dcterms:W3CDTF">2017-05-17T15:37:00Z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2017-05-17T00:00:00Z</vt:filetime>
  </property>
</Properties>
</file>